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AAB15" w14:textId="77777777" w:rsidR="008A0688" w:rsidRDefault="008A0688" w:rsidP="008A0688">
      <w:pPr>
        <w:spacing w:before="1080" w:after="20"/>
        <w:jc w:val="center"/>
        <w:rPr>
          <w:rFonts w:ascii="Calibri Light" w:hAnsi="Calibri Light" w:cs="Calibri Light"/>
          <w:b/>
          <w:color w:val="0070C0"/>
          <w:sz w:val="32"/>
          <w:szCs w:val="32"/>
        </w:rPr>
      </w:pPr>
      <w:r>
        <w:rPr>
          <w:rFonts w:ascii="Calibri Light" w:hAnsi="Calibri Light" w:cs="Calibri Light"/>
          <w:b/>
          <w:noProof/>
          <w:color w:val="0070C0"/>
          <w:sz w:val="32"/>
          <w:szCs w:val="32"/>
        </w:rPr>
        <w:drawing>
          <wp:inline distT="0" distB="0" distL="0" distR="0" wp14:anchorId="055DC284" wp14:editId="433D1B4F">
            <wp:extent cx="1581134" cy="716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ifornia-alliance-color cop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2287" cy="757611"/>
                    </a:xfrm>
                    <a:prstGeom prst="rect">
                      <a:avLst/>
                    </a:prstGeom>
                  </pic:spPr>
                </pic:pic>
              </a:graphicData>
            </a:graphic>
          </wp:inline>
        </w:drawing>
      </w:r>
    </w:p>
    <w:p w14:paraId="273E4297" w14:textId="1A4D7ABF" w:rsidR="00BF1B8E" w:rsidRPr="00BB02A7" w:rsidRDefault="00FA356D" w:rsidP="003220EB">
      <w:pPr>
        <w:spacing w:before="480" w:after="20"/>
        <w:jc w:val="center"/>
        <w:rPr>
          <w:rFonts w:ascii="Calibri Light" w:hAnsi="Calibri Light" w:cs="Calibri Light"/>
          <w:b/>
          <w:color w:val="0070C0"/>
          <w:sz w:val="32"/>
          <w:szCs w:val="32"/>
        </w:rPr>
      </w:pPr>
      <w:r w:rsidRPr="00BB02A7">
        <w:rPr>
          <w:rFonts w:ascii="Calibri Light" w:hAnsi="Calibri Light" w:cs="Calibri Light"/>
          <w:b/>
          <w:color w:val="0070C0"/>
          <w:sz w:val="32"/>
          <w:szCs w:val="32"/>
        </w:rPr>
        <w:t xml:space="preserve">Model Resolution </w:t>
      </w:r>
      <w:r w:rsidR="00BF1B8E" w:rsidRPr="00BB02A7">
        <w:rPr>
          <w:rFonts w:ascii="Calibri Light" w:hAnsi="Calibri Light" w:cs="Calibri Light"/>
          <w:b/>
          <w:color w:val="0070C0"/>
          <w:sz w:val="32"/>
          <w:szCs w:val="32"/>
        </w:rPr>
        <w:t>in Support of a California Wellness Trust</w:t>
      </w:r>
    </w:p>
    <w:p w14:paraId="0C33A5F7" w14:textId="6A7A9876" w:rsidR="00013E96" w:rsidRPr="00BB02A7" w:rsidRDefault="003C6131" w:rsidP="003C6131">
      <w:pPr>
        <w:spacing w:after="240"/>
        <w:jc w:val="center"/>
        <w:rPr>
          <w:rFonts w:ascii="Calibri Light" w:hAnsi="Calibri Light" w:cs="Calibri Light"/>
          <w:b/>
          <w:color w:val="0070C0"/>
          <w:sz w:val="32"/>
          <w:szCs w:val="32"/>
        </w:rPr>
      </w:pPr>
      <w:r w:rsidRPr="00BB02A7">
        <w:rPr>
          <w:rFonts w:ascii="Calibri Light" w:hAnsi="Calibri Light" w:cs="Calibri Light"/>
          <w:b/>
          <w:noProof/>
          <w:color w:val="0070C0"/>
          <w:lang w:eastAsia="ko-KR"/>
        </w:rPr>
        <mc:AlternateContent>
          <mc:Choice Requires="wps">
            <w:drawing>
              <wp:anchor distT="0" distB="0" distL="114300" distR="114300" simplePos="0" relativeHeight="251659264" behindDoc="0" locked="0" layoutInCell="1" allowOverlap="1" wp14:anchorId="6CC49C91" wp14:editId="72B62B24">
                <wp:simplePos x="0" y="0"/>
                <wp:positionH relativeFrom="margin">
                  <wp:posOffset>1375410</wp:posOffset>
                </wp:positionH>
                <wp:positionV relativeFrom="paragraph">
                  <wp:posOffset>325120</wp:posOffset>
                </wp:positionV>
                <wp:extent cx="3474720" cy="0"/>
                <wp:effectExtent l="0" t="0" r="0" b="0"/>
                <wp:wrapTopAndBottom/>
                <wp:docPr id="2" name="Straight Connector 2"/>
                <wp:cNvGraphicFramePr/>
                <a:graphic xmlns:a="http://schemas.openxmlformats.org/drawingml/2006/main">
                  <a:graphicData uri="http://schemas.microsoft.com/office/word/2010/wordprocessingShape">
                    <wps:wsp>
                      <wps:cNvCnPr/>
                      <wps:spPr>
                        <a:xfrm>
                          <a:off x="0" y="0"/>
                          <a:ext cx="3474720" cy="0"/>
                        </a:xfrm>
                        <a:prstGeom prst="line">
                          <a:avLst/>
                        </a:prstGeom>
                        <a:ln w="19050">
                          <a:solidFill>
                            <a:srgbClr val="FFC000"/>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w14:anchorId="27F5AAEE" id="Straight Connector 2"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8.3pt,25.6pt" to="381.9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" strokecolor="#ffc000" strokeweight="1.5pt">
                <v:stroke joinstyle="miter"/>
                <w10:wrap type="topAndBottom" anchorx="margin"/>
              </v:line>
            </w:pict>
          </mc:Fallback>
        </mc:AlternateContent>
      </w:r>
      <w:r w:rsidR="00BF1B8E" w:rsidRPr="00BB02A7">
        <w:rPr>
          <w:rFonts w:ascii="Calibri Light" w:hAnsi="Calibri Light" w:cs="Calibri Light"/>
          <w:b/>
          <w:color w:val="0070C0"/>
          <w:sz w:val="32"/>
          <w:szCs w:val="32"/>
        </w:rPr>
        <w:t>for Cities</w:t>
      </w:r>
      <w:r w:rsidR="000D59B4">
        <w:rPr>
          <w:rFonts w:ascii="Calibri Light" w:hAnsi="Calibri Light" w:cs="Calibri Light"/>
          <w:b/>
          <w:color w:val="0070C0"/>
          <w:sz w:val="32"/>
          <w:szCs w:val="32"/>
        </w:rPr>
        <w:t xml:space="preserve">, </w:t>
      </w:r>
      <w:r w:rsidR="00BF1B8E" w:rsidRPr="00BB02A7">
        <w:rPr>
          <w:rFonts w:ascii="Calibri Light" w:hAnsi="Calibri Light" w:cs="Calibri Light"/>
          <w:b/>
          <w:color w:val="0070C0"/>
          <w:sz w:val="32"/>
          <w:szCs w:val="32"/>
        </w:rPr>
        <w:t>Counties</w:t>
      </w:r>
      <w:r w:rsidR="000D59B4">
        <w:rPr>
          <w:rFonts w:ascii="Calibri Light" w:hAnsi="Calibri Light" w:cs="Calibri Light"/>
          <w:b/>
          <w:color w:val="0070C0"/>
          <w:sz w:val="32"/>
          <w:szCs w:val="32"/>
        </w:rPr>
        <w:t xml:space="preserve"> and Organizations</w:t>
      </w:r>
    </w:p>
    <w:p w14:paraId="75236977" w14:textId="534D1AC1" w:rsidR="00FA356D" w:rsidRPr="003C6131" w:rsidRDefault="00FA356D" w:rsidP="003C6131">
      <w:pPr>
        <w:spacing w:before="360"/>
        <w:jc w:val="center"/>
        <w:rPr>
          <w:rFonts w:ascii="Calibri Light" w:hAnsi="Calibri Light" w:cs="Calibri Light"/>
          <w:color w:val="0070C0"/>
          <w:sz w:val="26"/>
          <w:szCs w:val="26"/>
        </w:rPr>
      </w:pPr>
      <w:r w:rsidRPr="003C6131">
        <w:rPr>
          <w:rFonts w:ascii="Calibri Light" w:hAnsi="Calibri Light" w:cs="Calibri Light"/>
          <w:color w:val="0070C0"/>
          <w:sz w:val="26"/>
          <w:szCs w:val="26"/>
        </w:rPr>
        <w:t>Building Healthier Communities and Lives for Californians</w:t>
      </w:r>
    </w:p>
    <w:p w14:paraId="6A9201C6" w14:textId="77777777" w:rsidR="00FA356D" w:rsidRPr="003C6131" w:rsidRDefault="00FA356D" w:rsidP="00FA356D">
      <w:pPr>
        <w:spacing w:after="360"/>
        <w:jc w:val="center"/>
        <w:rPr>
          <w:rFonts w:ascii="Calibri Light" w:hAnsi="Calibri Light" w:cs="Calibri Light"/>
          <w:color w:val="0070C0"/>
          <w:sz w:val="26"/>
          <w:szCs w:val="26"/>
        </w:rPr>
      </w:pPr>
      <w:r w:rsidRPr="003C6131">
        <w:rPr>
          <w:rFonts w:ascii="Calibri Light" w:hAnsi="Calibri Light" w:cs="Calibri Light"/>
          <w:color w:val="0070C0"/>
          <w:sz w:val="26"/>
          <w:szCs w:val="26"/>
        </w:rPr>
        <w:t>through Investment in Community-Based Prevention</w:t>
      </w:r>
    </w:p>
    <w:p w14:paraId="7E5AF965" w14:textId="2A94A277" w:rsidR="00FA356D" w:rsidRPr="00FA24C7" w:rsidRDefault="00FA356D" w:rsidP="00FA356D">
      <w:pPr>
        <w:pStyle w:val="ListParagraph"/>
        <w:numPr>
          <w:ilvl w:val="0"/>
          <w:numId w:val="1"/>
        </w:numPr>
        <w:rPr>
          <w:rFonts w:ascii="Calibri Light" w:hAnsi="Calibri Light" w:cs="Calibri Light"/>
        </w:rPr>
      </w:pPr>
      <w:r w:rsidRPr="00FA24C7">
        <w:rPr>
          <w:rFonts w:ascii="Calibri Light" w:hAnsi="Calibri Light" w:cs="Calibri Light"/>
        </w:rPr>
        <w:t>Whereas, chronic diseases and injuries, most of which are preventable, accounted for 80% of deaths in California in 2010,</w:t>
      </w:r>
      <w:r w:rsidRPr="00FA24C7">
        <w:rPr>
          <w:rStyle w:val="EndnoteReference"/>
          <w:rFonts w:ascii="Calibri Light" w:hAnsi="Calibri Light" w:cs="Calibri Light"/>
        </w:rPr>
        <w:endnoteReference w:id="1"/>
      </w:r>
    </w:p>
    <w:p w14:paraId="031E8A30" w14:textId="68EF23C4" w:rsidR="00FA356D" w:rsidRPr="00FA24C7" w:rsidRDefault="00FA356D" w:rsidP="00FA356D">
      <w:pPr>
        <w:pStyle w:val="ListParagraph"/>
        <w:numPr>
          <w:ilvl w:val="0"/>
          <w:numId w:val="1"/>
        </w:numPr>
        <w:rPr>
          <w:rFonts w:ascii="Calibri Light" w:hAnsi="Calibri Light" w:cs="Calibri Light"/>
        </w:rPr>
      </w:pPr>
      <w:r w:rsidRPr="00FA24C7">
        <w:rPr>
          <w:rFonts w:ascii="Calibri Light" w:hAnsi="Calibri Light" w:cs="Calibri Light"/>
        </w:rPr>
        <w:t>Whereas we are in the midst of a large-scale epidemic of obesity and diabetes that shows little sign of slowing and may lead this generation of children to have shorter lives than their paren</w:t>
      </w:r>
      <w:r w:rsidR="00471691">
        <w:rPr>
          <w:rFonts w:ascii="Calibri Light" w:hAnsi="Calibri Light" w:cs="Calibri Light"/>
        </w:rPr>
        <w:t>ts,</w:t>
      </w:r>
      <w:r w:rsidRPr="00FA24C7">
        <w:rPr>
          <w:rStyle w:val="EndnoteReference"/>
          <w:rFonts w:ascii="Calibri Light" w:hAnsi="Calibri Light" w:cs="Calibri Light"/>
        </w:rPr>
        <w:endnoteReference w:id="2"/>
      </w:r>
      <w:r w:rsidRPr="00FA24C7">
        <w:rPr>
          <w:rFonts w:ascii="Calibri Light" w:hAnsi="Calibri Light" w:cs="Calibri Light"/>
        </w:rPr>
        <w:t xml:space="preserve"> </w:t>
      </w:r>
      <w:r w:rsidRPr="00FA24C7">
        <w:rPr>
          <w:rStyle w:val="EndnoteReference"/>
          <w:rFonts w:ascii="Calibri Light" w:hAnsi="Calibri Light" w:cs="Calibri Light"/>
        </w:rPr>
        <w:endnoteReference w:id="3"/>
      </w:r>
    </w:p>
    <w:p w14:paraId="45A7F588" w14:textId="36567310" w:rsidR="00FA356D" w:rsidRPr="00FA24C7" w:rsidRDefault="00FA356D" w:rsidP="00FA356D">
      <w:pPr>
        <w:pStyle w:val="ListParagraph"/>
        <w:numPr>
          <w:ilvl w:val="0"/>
          <w:numId w:val="1"/>
        </w:numPr>
        <w:rPr>
          <w:rFonts w:ascii="Calibri Light" w:hAnsi="Calibri Light" w:cs="Calibri Light"/>
        </w:rPr>
      </w:pPr>
      <w:r w:rsidRPr="00FA24C7">
        <w:rPr>
          <w:rFonts w:ascii="Calibri Light" w:hAnsi="Calibri Light" w:cs="Calibri Light"/>
        </w:rPr>
        <w:t>Whereas more than half of California’s adults are overweight or obese</w:t>
      </w:r>
      <w:r w:rsidR="008F6B13" w:rsidRPr="00FA24C7">
        <w:rPr>
          <w:rStyle w:val="EndnoteReference"/>
          <w:rFonts w:ascii="Calibri Light" w:hAnsi="Calibri Light" w:cs="Calibri Light"/>
        </w:rPr>
        <w:endnoteReference w:id="4"/>
      </w:r>
      <w:r w:rsidRPr="00FA24C7">
        <w:rPr>
          <w:rFonts w:ascii="Calibri Light" w:hAnsi="Calibri Light" w:cs="Calibri Light"/>
        </w:rPr>
        <w:t xml:space="preserve"> and therefore at greater risk for chronic conditions including diabetes, heart disease, cancer, arthritis,</w:t>
      </w:r>
      <w:r w:rsidR="00471691">
        <w:rPr>
          <w:rFonts w:ascii="Calibri Light" w:hAnsi="Calibri Light" w:cs="Calibri Light"/>
        </w:rPr>
        <w:t xml:space="preserve"> stroke and high blood pressure,</w:t>
      </w:r>
    </w:p>
    <w:p w14:paraId="57832EAF" w14:textId="15A58FDB" w:rsidR="00FA356D" w:rsidRPr="00FA24C7" w:rsidRDefault="00FA356D" w:rsidP="00FA356D">
      <w:pPr>
        <w:pStyle w:val="ListParagraph"/>
        <w:numPr>
          <w:ilvl w:val="0"/>
          <w:numId w:val="1"/>
        </w:numPr>
        <w:rPr>
          <w:rFonts w:ascii="Calibri Light" w:hAnsi="Calibri Light" w:cs="Calibri Light"/>
        </w:rPr>
      </w:pPr>
      <w:r w:rsidRPr="00FA24C7">
        <w:rPr>
          <w:rFonts w:ascii="Calibri Light" w:hAnsi="Calibri Light" w:cs="Calibri Light"/>
        </w:rPr>
        <w:t>Whereas this burden of preventable illness generates enormous costs for families,</w:t>
      </w:r>
      <w:r w:rsidR="008F6B13" w:rsidRPr="00FA24C7">
        <w:rPr>
          <w:rFonts w:ascii="Calibri Light" w:hAnsi="Calibri Light" w:cs="Calibri Light"/>
        </w:rPr>
        <w:t xml:space="preserve"> </w:t>
      </w:r>
      <w:r w:rsidRPr="00FA24C7">
        <w:rPr>
          <w:rFonts w:ascii="Calibri Light" w:hAnsi="Calibri Light" w:cs="Calibri Light"/>
        </w:rPr>
        <w:t>employers, local and state gov</w:t>
      </w:r>
      <w:r w:rsidR="00471691">
        <w:rPr>
          <w:rFonts w:ascii="Calibri Light" w:hAnsi="Calibri Light" w:cs="Calibri Light"/>
        </w:rPr>
        <w:t>ernment and health care systems,</w:t>
      </w:r>
    </w:p>
    <w:p w14:paraId="5EA2DCF8" w14:textId="182B7A9C" w:rsidR="00FA356D" w:rsidRPr="00FA24C7" w:rsidRDefault="00FA356D" w:rsidP="00FA356D">
      <w:pPr>
        <w:pStyle w:val="ListParagraph"/>
        <w:numPr>
          <w:ilvl w:val="0"/>
          <w:numId w:val="1"/>
        </w:numPr>
        <w:rPr>
          <w:rFonts w:ascii="Calibri Light" w:hAnsi="Calibri Light" w:cs="Calibri Light"/>
        </w:rPr>
      </w:pPr>
      <w:r w:rsidRPr="00FA24C7">
        <w:rPr>
          <w:rFonts w:ascii="Calibri Light" w:hAnsi="Calibri Light" w:cs="Calibri Light"/>
        </w:rPr>
        <w:t xml:space="preserve">Whereas the six leading chronic diseases alone generated treatment costs of $ </w:t>
      </w:r>
      <w:r w:rsidRPr="00FA24C7">
        <w:rPr>
          <w:rFonts w:ascii="Calibri Light" w:hAnsi="Calibri Light" w:cs="Calibri Light"/>
          <w:b/>
          <w:color w:val="0070C0"/>
        </w:rPr>
        <w:t>[see table below]</w:t>
      </w:r>
      <w:r w:rsidRPr="00FA24C7">
        <w:rPr>
          <w:rFonts w:ascii="Calibri Light" w:hAnsi="Calibri Light" w:cs="Calibri Light"/>
        </w:rPr>
        <w:t xml:space="preserve"> in our county in 2</w:t>
      </w:r>
      <w:r w:rsidR="00471691">
        <w:rPr>
          <w:rFonts w:ascii="Calibri Light" w:hAnsi="Calibri Light" w:cs="Calibri Light"/>
        </w:rPr>
        <w:t>010, and these continue to rise,</w:t>
      </w:r>
      <w:r w:rsidR="008F6B13" w:rsidRPr="00FA24C7">
        <w:rPr>
          <w:rStyle w:val="EndnoteReference"/>
          <w:rFonts w:ascii="Calibri Light" w:hAnsi="Calibri Light" w:cs="Calibri Light"/>
        </w:rPr>
        <w:endnoteReference w:id="5"/>
      </w:r>
    </w:p>
    <w:p w14:paraId="2903F76D" w14:textId="12DE06C5" w:rsidR="00FA356D" w:rsidRPr="00FA24C7" w:rsidRDefault="00FA356D" w:rsidP="00FA356D">
      <w:pPr>
        <w:pStyle w:val="ListParagraph"/>
        <w:numPr>
          <w:ilvl w:val="0"/>
          <w:numId w:val="1"/>
        </w:numPr>
        <w:rPr>
          <w:rFonts w:ascii="Calibri Light" w:hAnsi="Calibri Light" w:cs="Calibri Light"/>
        </w:rPr>
      </w:pPr>
      <w:r w:rsidRPr="00FA24C7">
        <w:rPr>
          <w:rFonts w:ascii="Calibri Light" w:hAnsi="Calibri Light" w:cs="Calibri Light"/>
        </w:rPr>
        <w:t>Whereas California had 18,152 injury deaths, with $21 billion in lifetime costs ($538 for every resid</w:t>
      </w:r>
      <w:r w:rsidR="00471691">
        <w:rPr>
          <w:rFonts w:ascii="Calibri Light" w:hAnsi="Calibri Light" w:cs="Calibri Light"/>
        </w:rPr>
        <w:t>ent in the state) in 2014 alone,</w:t>
      </w:r>
      <w:r w:rsidR="008F6B13" w:rsidRPr="00FA24C7">
        <w:rPr>
          <w:rStyle w:val="EndnoteReference"/>
          <w:rFonts w:ascii="Calibri Light" w:hAnsi="Calibri Light" w:cs="Calibri Light"/>
        </w:rPr>
        <w:endnoteReference w:id="6"/>
      </w:r>
    </w:p>
    <w:p w14:paraId="1837E891" w14:textId="739B7E3E" w:rsidR="00FA356D" w:rsidRPr="00FA24C7" w:rsidRDefault="00FA356D" w:rsidP="00FA356D">
      <w:pPr>
        <w:pStyle w:val="ListParagraph"/>
        <w:numPr>
          <w:ilvl w:val="0"/>
          <w:numId w:val="1"/>
        </w:numPr>
        <w:rPr>
          <w:rFonts w:ascii="Calibri Light" w:hAnsi="Calibri Light" w:cs="Calibri Light"/>
        </w:rPr>
      </w:pPr>
      <w:r w:rsidRPr="00FA24C7">
        <w:rPr>
          <w:rFonts w:ascii="Calibri Light" w:hAnsi="Calibri Light" w:cs="Calibri Light"/>
        </w:rPr>
        <w:t xml:space="preserve">Whereas poor diet is now the leading risk factor for death in the United States, followed by tobacco, high blood pressure, </w:t>
      </w:r>
      <w:r w:rsidR="00471691">
        <w:rPr>
          <w:rFonts w:ascii="Calibri Light" w:hAnsi="Calibri Light" w:cs="Calibri Light"/>
        </w:rPr>
        <w:t>obesity and physical inactivity,</w:t>
      </w:r>
      <w:r w:rsidR="008F6B13" w:rsidRPr="00FA24C7">
        <w:rPr>
          <w:rStyle w:val="EndnoteReference"/>
          <w:rFonts w:ascii="Calibri Light" w:hAnsi="Calibri Light" w:cs="Calibri Light"/>
        </w:rPr>
        <w:endnoteReference w:id="7"/>
      </w:r>
    </w:p>
    <w:p w14:paraId="33E1BF98" w14:textId="265BC927" w:rsidR="00FA356D" w:rsidRPr="00FA24C7" w:rsidRDefault="00FA356D" w:rsidP="00FA356D">
      <w:pPr>
        <w:pStyle w:val="ListParagraph"/>
        <w:numPr>
          <w:ilvl w:val="0"/>
          <w:numId w:val="1"/>
        </w:numPr>
        <w:rPr>
          <w:rFonts w:ascii="Calibri Light" w:hAnsi="Calibri Light" w:cs="Calibri Light"/>
        </w:rPr>
      </w:pPr>
      <w:r w:rsidRPr="00FA24C7">
        <w:rPr>
          <w:rFonts w:ascii="Calibri Light" w:hAnsi="Calibri Light" w:cs="Calibri Light"/>
        </w:rPr>
        <w:t>Whereas people who have access to healthy food and eat a healthy varied diet are at lower risk of obesity and chronic disease</w:t>
      </w:r>
      <w:r w:rsidR="00471691">
        <w:rPr>
          <w:rFonts w:ascii="Calibri Light" w:hAnsi="Calibri Light" w:cs="Calibri Light"/>
        </w:rPr>
        <w:t>,</w:t>
      </w:r>
      <w:r w:rsidR="008F6B13" w:rsidRPr="00FA24C7">
        <w:rPr>
          <w:rStyle w:val="EndnoteReference"/>
          <w:rFonts w:ascii="Calibri Light" w:hAnsi="Calibri Light" w:cs="Calibri Light"/>
        </w:rPr>
        <w:endnoteReference w:id="8"/>
      </w:r>
    </w:p>
    <w:p w14:paraId="767FF78B" w14:textId="31C58B56" w:rsidR="00FA356D" w:rsidRPr="00FA24C7" w:rsidRDefault="00FA356D" w:rsidP="00FA356D">
      <w:pPr>
        <w:pStyle w:val="ListParagraph"/>
        <w:numPr>
          <w:ilvl w:val="0"/>
          <w:numId w:val="1"/>
        </w:numPr>
        <w:rPr>
          <w:rFonts w:ascii="Calibri Light" w:hAnsi="Calibri Light" w:cs="Calibri Light"/>
        </w:rPr>
      </w:pPr>
      <w:r w:rsidRPr="00FA24C7">
        <w:rPr>
          <w:rFonts w:ascii="Calibri Light" w:hAnsi="Calibri Light" w:cs="Calibri Light"/>
        </w:rPr>
        <w:t>Whereas people who live in highly walkable, safe, mixed-use communities with easy access to green space and public transit options are more physically active and less obese, contrib</w:t>
      </w:r>
      <w:r w:rsidR="00471691">
        <w:rPr>
          <w:rFonts w:ascii="Calibri Light" w:hAnsi="Calibri Light" w:cs="Calibri Light"/>
        </w:rPr>
        <w:t>uting to greater overall health,</w:t>
      </w:r>
      <w:r w:rsidR="008F6B13" w:rsidRPr="00FA24C7">
        <w:rPr>
          <w:rStyle w:val="EndnoteReference"/>
          <w:rFonts w:ascii="Calibri Light" w:hAnsi="Calibri Light" w:cs="Calibri Light"/>
        </w:rPr>
        <w:endnoteReference w:id="9"/>
      </w:r>
      <w:r w:rsidR="008F6B13" w:rsidRPr="00FA24C7">
        <w:rPr>
          <w:rFonts w:ascii="Calibri Light" w:hAnsi="Calibri Light" w:cs="Calibri Light"/>
        </w:rPr>
        <w:t xml:space="preserve"> </w:t>
      </w:r>
      <w:r w:rsidR="008F6B13" w:rsidRPr="00FA24C7">
        <w:rPr>
          <w:rStyle w:val="EndnoteReference"/>
          <w:rFonts w:ascii="Calibri Light" w:hAnsi="Calibri Light" w:cs="Calibri Light"/>
        </w:rPr>
        <w:endnoteReference w:id="10"/>
      </w:r>
    </w:p>
    <w:p w14:paraId="26487AB8" w14:textId="162D6024" w:rsidR="00FA356D" w:rsidRPr="00FA24C7" w:rsidRDefault="00FA356D" w:rsidP="00FA356D">
      <w:pPr>
        <w:pStyle w:val="ListParagraph"/>
        <w:numPr>
          <w:ilvl w:val="0"/>
          <w:numId w:val="1"/>
        </w:numPr>
        <w:rPr>
          <w:rFonts w:ascii="Calibri Light" w:hAnsi="Calibri Light" w:cs="Calibri Light"/>
        </w:rPr>
      </w:pPr>
      <w:r w:rsidRPr="00FA24C7">
        <w:rPr>
          <w:rFonts w:ascii="Calibri Light" w:hAnsi="Calibri Light" w:cs="Calibri Light"/>
        </w:rPr>
        <w:t>Whereas this burden of illness is distributed unfairly. The place where you were born and live, your income, race, and ethnicity all play a role in determining how likely you are to become i</w:t>
      </w:r>
      <w:r w:rsidR="00471691">
        <w:rPr>
          <w:rFonts w:ascii="Calibri Light" w:hAnsi="Calibri Light" w:cs="Calibri Light"/>
        </w:rPr>
        <w:t>ll, be injured or die too young,</w:t>
      </w:r>
      <w:r w:rsidR="008F6B13" w:rsidRPr="00FA24C7">
        <w:rPr>
          <w:rStyle w:val="EndnoteReference"/>
          <w:rFonts w:ascii="Calibri Light" w:hAnsi="Calibri Light" w:cs="Calibri Light"/>
        </w:rPr>
        <w:endnoteReference w:id="11"/>
      </w:r>
    </w:p>
    <w:p w14:paraId="4598BBFC" w14:textId="081060D7" w:rsidR="00FA356D" w:rsidRPr="00FA24C7" w:rsidRDefault="00FA356D" w:rsidP="00FA356D">
      <w:pPr>
        <w:pStyle w:val="ListParagraph"/>
        <w:numPr>
          <w:ilvl w:val="0"/>
          <w:numId w:val="1"/>
        </w:numPr>
        <w:rPr>
          <w:rFonts w:ascii="Calibri Light" w:hAnsi="Calibri Light" w:cs="Calibri Light"/>
        </w:rPr>
      </w:pPr>
      <w:r w:rsidRPr="00FA24C7">
        <w:rPr>
          <w:rFonts w:ascii="Calibri Light" w:hAnsi="Calibri Light" w:cs="Calibri Light"/>
        </w:rPr>
        <w:t>Whereas just $10 per person for strategic investment in prevention would represent less than 1/1000th of our annual he</w:t>
      </w:r>
      <w:r w:rsidR="00471691">
        <w:rPr>
          <w:rFonts w:ascii="Calibri Light" w:hAnsi="Calibri Light" w:cs="Calibri Light"/>
        </w:rPr>
        <w:t>althcare spending in California,</w:t>
      </w:r>
      <w:r w:rsidR="008F6B13" w:rsidRPr="00FA24C7">
        <w:rPr>
          <w:rStyle w:val="EndnoteReference"/>
          <w:rFonts w:ascii="Calibri Light" w:hAnsi="Calibri Light" w:cs="Calibri Light"/>
        </w:rPr>
        <w:endnoteReference w:id="12"/>
      </w:r>
    </w:p>
    <w:p w14:paraId="0F7095E8" w14:textId="08595DBF" w:rsidR="00FA356D" w:rsidRPr="00FA24C7" w:rsidRDefault="00FA356D" w:rsidP="00FA356D">
      <w:pPr>
        <w:pStyle w:val="ListParagraph"/>
        <w:numPr>
          <w:ilvl w:val="0"/>
          <w:numId w:val="1"/>
        </w:numPr>
        <w:rPr>
          <w:rFonts w:ascii="Calibri Light" w:hAnsi="Calibri Light" w:cs="Calibri Light"/>
        </w:rPr>
      </w:pPr>
      <w:r w:rsidRPr="00FA24C7">
        <w:rPr>
          <w:rFonts w:ascii="Calibri Light" w:hAnsi="Calibri Light" w:cs="Calibri Light"/>
        </w:rPr>
        <w:t xml:space="preserve">Whereas as our population ages, medical care becomes </w:t>
      </w:r>
      <w:proofErr w:type="gramStart"/>
      <w:r w:rsidRPr="00FA24C7">
        <w:rPr>
          <w:rFonts w:ascii="Calibri Light" w:hAnsi="Calibri Light" w:cs="Calibri Light"/>
        </w:rPr>
        <w:t>more complex and costly</w:t>
      </w:r>
      <w:proofErr w:type="gramEnd"/>
      <w:r w:rsidRPr="00FA24C7">
        <w:rPr>
          <w:rFonts w:ascii="Calibri Light" w:hAnsi="Calibri Light" w:cs="Calibri Light"/>
        </w:rPr>
        <w:t>, and we seek to assure health care coverage for Californians, the need to invest in preventing those illnesses that can be ave</w:t>
      </w:r>
      <w:r w:rsidR="00471691">
        <w:rPr>
          <w:rFonts w:ascii="Calibri Light" w:hAnsi="Calibri Light" w:cs="Calibri Light"/>
        </w:rPr>
        <w:t>rted has never been more urgent,</w:t>
      </w:r>
    </w:p>
    <w:p w14:paraId="7894115C" w14:textId="5B363828" w:rsidR="00013E96" w:rsidRPr="00FA24C7" w:rsidRDefault="00FA356D" w:rsidP="00013E96">
      <w:pPr>
        <w:pStyle w:val="ListParagraph"/>
        <w:numPr>
          <w:ilvl w:val="0"/>
          <w:numId w:val="1"/>
        </w:numPr>
        <w:spacing w:after="720"/>
        <w:rPr>
          <w:rFonts w:ascii="Calibri Light" w:hAnsi="Calibri Light" w:cs="Calibri Light"/>
        </w:rPr>
      </w:pPr>
      <w:r w:rsidRPr="00FA24C7">
        <w:rPr>
          <w:rFonts w:ascii="Calibri Light" w:hAnsi="Calibri Light" w:cs="Calibri Light"/>
        </w:rPr>
        <w:t>Whereas Oklahoma, Minnesota and Massachusetts have created wellness trusts or funds that provide sustained, dedicated funding to reduce leading causes of premature illness and death and have demonstrated positive outcomes in re</w:t>
      </w:r>
      <w:r w:rsidR="00471691">
        <w:rPr>
          <w:rFonts w:ascii="Calibri Light" w:hAnsi="Calibri Light" w:cs="Calibri Light"/>
        </w:rPr>
        <w:t>ducing risk factors for disease.</w:t>
      </w:r>
      <w:r w:rsidR="008F6B13" w:rsidRPr="00FA24C7">
        <w:rPr>
          <w:rStyle w:val="EndnoteReference"/>
          <w:rFonts w:ascii="Calibri Light" w:hAnsi="Calibri Light" w:cs="Calibri Light"/>
        </w:rPr>
        <w:endnoteReference w:id="13"/>
      </w:r>
      <w:r w:rsidR="008F6B13" w:rsidRPr="00FA24C7">
        <w:rPr>
          <w:rFonts w:ascii="Calibri Light" w:hAnsi="Calibri Light" w:cs="Calibri Light"/>
        </w:rPr>
        <w:t xml:space="preserve"> </w:t>
      </w:r>
      <w:r w:rsidR="008F6B13" w:rsidRPr="00FA24C7">
        <w:rPr>
          <w:rStyle w:val="EndnoteReference"/>
          <w:rFonts w:ascii="Calibri Light" w:hAnsi="Calibri Light" w:cs="Calibri Light"/>
        </w:rPr>
        <w:endnoteReference w:id="14"/>
      </w:r>
      <w:r w:rsidR="008F6B13" w:rsidRPr="00FA24C7">
        <w:rPr>
          <w:rFonts w:ascii="Calibri Light" w:hAnsi="Calibri Light" w:cs="Calibri Light"/>
        </w:rPr>
        <w:t xml:space="preserve"> </w:t>
      </w:r>
      <w:r w:rsidR="008F6B13" w:rsidRPr="00FA24C7">
        <w:rPr>
          <w:rStyle w:val="EndnoteReference"/>
          <w:rFonts w:ascii="Calibri Light" w:hAnsi="Calibri Light" w:cs="Calibri Light"/>
        </w:rPr>
        <w:endnoteReference w:id="15"/>
      </w:r>
    </w:p>
    <w:p w14:paraId="3ED3734C" w14:textId="77777777" w:rsidR="0034046F" w:rsidRDefault="0034046F" w:rsidP="00B87D37">
      <w:pPr>
        <w:pStyle w:val="Heading1"/>
        <w:rPr>
          <w:rFonts w:ascii="Calibri Light" w:eastAsiaTheme="minorHAnsi" w:hAnsi="Calibri Light" w:cs="Calibri Light"/>
          <w:color w:val="auto"/>
          <w:sz w:val="23"/>
          <w:szCs w:val="23"/>
        </w:rPr>
      </w:pPr>
    </w:p>
    <w:p w14:paraId="294A9DA4" w14:textId="5172DEA0" w:rsidR="006A1D1E" w:rsidRPr="003D0DFF" w:rsidRDefault="006A1D1E" w:rsidP="00B87D37">
      <w:pPr>
        <w:pStyle w:val="Heading1"/>
        <w:rPr>
          <w:color w:val="0070C0"/>
        </w:rPr>
      </w:pPr>
      <w:bookmarkStart w:id="1" w:name="_GoBack"/>
      <w:bookmarkEnd w:id="1"/>
      <w:r w:rsidRPr="003D0DFF">
        <w:rPr>
          <w:color w:val="0070C0"/>
        </w:rPr>
        <w:t>Basic Level of Support</w:t>
      </w:r>
      <w:r w:rsidR="00D16882" w:rsidRPr="003D0DFF">
        <w:rPr>
          <w:color w:val="0070C0"/>
        </w:rPr>
        <w:t xml:space="preserve"> </w:t>
      </w:r>
    </w:p>
    <w:p w14:paraId="41BD647C" w14:textId="3096AB56" w:rsidR="00D16882" w:rsidRDefault="008F6B13" w:rsidP="00162D04">
      <w:pPr>
        <w:spacing w:before="240"/>
        <w:rPr>
          <w:rFonts w:ascii="Calibri Light" w:hAnsi="Calibri Light" w:cs="Calibri Light"/>
        </w:rPr>
      </w:pPr>
      <w:r w:rsidRPr="00FA24C7">
        <w:rPr>
          <w:rFonts w:ascii="Calibri Light" w:hAnsi="Calibri Light" w:cs="Calibri Light"/>
          <w:sz w:val="28"/>
          <w:szCs w:val="28"/>
        </w:rPr>
        <w:t xml:space="preserve">Now, therefore, let it be resolved that </w:t>
      </w:r>
      <w:r w:rsidRPr="00FA24C7">
        <w:rPr>
          <w:rFonts w:ascii="Calibri Light" w:hAnsi="Calibri Light" w:cs="Calibri Light"/>
          <w:b/>
          <w:color w:val="0070C0"/>
          <w:sz w:val="28"/>
          <w:szCs w:val="28"/>
        </w:rPr>
        <w:t>[City/County</w:t>
      </w:r>
      <w:r w:rsidR="000D59B4">
        <w:rPr>
          <w:rFonts w:ascii="Calibri Light" w:hAnsi="Calibri Light" w:cs="Calibri Light"/>
          <w:b/>
          <w:color w:val="0070C0"/>
          <w:sz w:val="28"/>
          <w:szCs w:val="28"/>
        </w:rPr>
        <w:t>/Organization</w:t>
      </w:r>
      <w:r w:rsidR="00013E96" w:rsidRPr="00FA24C7">
        <w:rPr>
          <w:rFonts w:ascii="Calibri Light" w:hAnsi="Calibri Light" w:cs="Calibri Light"/>
          <w:b/>
          <w:color w:val="0070C0"/>
          <w:sz w:val="28"/>
          <w:szCs w:val="28"/>
        </w:rPr>
        <w:t>]</w:t>
      </w:r>
      <w:r w:rsidRPr="00FA24C7">
        <w:rPr>
          <w:rFonts w:ascii="Calibri Light" w:hAnsi="Calibri Light" w:cs="Calibri Light"/>
          <w:color w:val="0070C0"/>
          <w:sz w:val="28"/>
          <w:szCs w:val="28"/>
        </w:rPr>
        <w:t xml:space="preserve"> </w:t>
      </w:r>
      <w:r w:rsidR="00D16882" w:rsidRPr="00FA24C7">
        <w:rPr>
          <w:rFonts w:ascii="Calibri Light" w:hAnsi="Calibri Light" w:cs="Calibri Light"/>
          <w:sz w:val="28"/>
          <w:szCs w:val="28"/>
        </w:rPr>
        <w:t>supports the establishment of</w:t>
      </w:r>
      <w:r w:rsidR="00D16882">
        <w:rPr>
          <w:rFonts w:ascii="Calibri Light" w:hAnsi="Calibri Light" w:cs="Calibri Light"/>
          <w:sz w:val="28"/>
          <w:szCs w:val="28"/>
        </w:rPr>
        <w:t xml:space="preserve"> </w:t>
      </w:r>
      <w:r w:rsidR="00935FAA">
        <w:rPr>
          <w:rFonts w:ascii="Calibri Light" w:hAnsi="Calibri Light" w:cs="Calibri Light"/>
        </w:rPr>
        <w:t>a</w:t>
      </w:r>
      <w:r w:rsidR="00D16882" w:rsidRPr="00FA24C7">
        <w:rPr>
          <w:rFonts w:ascii="Calibri Light" w:hAnsi="Calibri Light" w:cs="Calibri Light"/>
        </w:rPr>
        <w:t xml:space="preserve"> California Wellness Trust, or other mechanism</w:t>
      </w:r>
      <w:r w:rsidR="00D16882">
        <w:rPr>
          <w:rFonts w:ascii="Calibri Light" w:hAnsi="Calibri Light" w:cs="Calibri Light"/>
        </w:rPr>
        <w:t>,</w:t>
      </w:r>
      <w:r w:rsidR="00D16882" w:rsidRPr="00FA24C7">
        <w:rPr>
          <w:rFonts w:ascii="Calibri Light" w:hAnsi="Calibri Light" w:cs="Calibri Light"/>
        </w:rPr>
        <w:t xml:space="preserve"> to assure sustained, dedicated investment </w:t>
      </w:r>
      <w:r w:rsidR="00F60A45">
        <w:rPr>
          <w:rFonts w:ascii="Calibri Light" w:hAnsi="Calibri Light" w:cs="Calibri Light"/>
        </w:rPr>
        <w:t xml:space="preserve">in </w:t>
      </w:r>
      <w:r w:rsidR="00D16882" w:rsidRPr="00FA24C7">
        <w:rPr>
          <w:rFonts w:ascii="Calibri Light" w:hAnsi="Calibri Light" w:cs="Calibri Light"/>
        </w:rPr>
        <w:t>prevent</w:t>
      </w:r>
      <w:r w:rsidR="00F60A45">
        <w:rPr>
          <w:rFonts w:ascii="Calibri Light" w:hAnsi="Calibri Light" w:cs="Calibri Light"/>
        </w:rPr>
        <w:t>ing</w:t>
      </w:r>
      <w:r w:rsidR="00D16882" w:rsidRPr="00FA24C7">
        <w:rPr>
          <w:rFonts w:ascii="Calibri Light" w:hAnsi="Calibri Light" w:cs="Calibri Light"/>
        </w:rPr>
        <w:t xml:space="preserve"> the leading causes of illness, injury, and premature death in California</w:t>
      </w:r>
      <w:r w:rsidR="00F60A45">
        <w:rPr>
          <w:rFonts w:ascii="Calibri Light" w:hAnsi="Calibri Light" w:cs="Calibri Light"/>
        </w:rPr>
        <w:t xml:space="preserve"> by </w:t>
      </w:r>
      <w:r w:rsidR="00D16882" w:rsidRPr="00FA24C7">
        <w:rPr>
          <w:rFonts w:ascii="Calibri Light" w:hAnsi="Calibri Light" w:cs="Calibri Light"/>
        </w:rPr>
        <w:t>address</w:t>
      </w:r>
      <w:r w:rsidR="00F60A45">
        <w:rPr>
          <w:rFonts w:ascii="Calibri Light" w:hAnsi="Calibri Light" w:cs="Calibri Light"/>
        </w:rPr>
        <w:t xml:space="preserve">ing </w:t>
      </w:r>
      <w:r w:rsidR="00D16882" w:rsidRPr="00FA24C7">
        <w:rPr>
          <w:rFonts w:ascii="Calibri Light" w:hAnsi="Calibri Light" w:cs="Calibri Light"/>
        </w:rPr>
        <w:t>the root causes of these conditions</w:t>
      </w:r>
      <w:r w:rsidR="00D16882">
        <w:rPr>
          <w:rFonts w:ascii="Calibri Light" w:hAnsi="Calibri Light" w:cs="Calibri Light"/>
        </w:rPr>
        <w:t xml:space="preserve"> in order to</w:t>
      </w:r>
      <w:r w:rsidR="00D16882" w:rsidRPr="00FA24C7">
        <w:rPr>
          <w:rFonts w:ascii="Calibri Light" w:hAnsi="Calibri Light" w:cs="Calibri Light"/>
        </w:rPr>
        <w:t xml:space="preserve"> promote greater health equity, build healthier communities through community-based disease prevention and wellness efforts</w:t>
      </w:r>
      <w:r w:rsidR="00F60A45">
        <w:rPr>
          <w:rFonts w:ascii="Calibri Light" w:hAnsi="Calibri Light" w:cs="Calibri Light"/>
        </w:rPr>
        <w:t>,</w:t>
      </w:r>
      <w:r w:rsidR="00D16882" w:rsidRPr="00FA24C7">
        <w:rPr>
          <w:rFonts w:ascii="Calibri Light" w:hAnsi="Calibri Light" w:cs="Calibri Light"/>
        </w:rPr>
        <w:t xml:space="preserve"> and make our healthcare dollars go further.</w:t>
      </w:r>
    </w:p>
    <w:p w14:paraId="1F37D869" w14:textId="77777777" w:rsidR="000D59B4" w:rsidRPr="00FA24C7" w:rsidRDefault="000D59B4" w:rsidP="00162D04">
      <w:pPr>
        <w:spacing w:before="240"/>
        <w:rPr>
          <w:rFonts w:ascii="Calibri Light" w:hAnsi="Calibri Light" w:cs="Calibri Light"/>
        </w:rPr>
      </w:pPr>
    </w:p>
    <w:p w14:paraId="295CD845" w14:textId="362B6649" w:rsidR="00CF34EA" w:rsidRPr="003D0DFF" w:rsidRDefault="00D16882" w:rsidP="00162D04">
      <w:pPr>
        <w:pStyle w:val="Heading1"/>
        <w:spacing w:before="720"/>
        <w:rPr>
          <w:color w:val="0070C0"/>
        </w:rPr>
      </w:pPr>
      <w:r w:rsidRPr="003D0DFF">
        <w:rPr>
          <w:color w:val="0070C0"/>
        </w:rPr>
        <w:t xml:space="preserve">Stronger Level of Support </w:t>
      </w:r>
      <w:r w:rsidR="00CF34EA" w:rsidRPr="003D0DFF">
        <w:rPr>
          <w:color w:val="0070C0"/>
        </w:rPr>
        <w:t>with explicit inclusion in legislative platform:</w:t>
      </w:r>
      <w:r w:rsidR="00A50209" w:rsidRPr="003D0DFF">
        <w:rPr>
          <w:color w:val="0070C0"/>
        </w:rPr>
        <w:t xml:space="preserve"> </w:t>
      </w:r>
    </w:p>
    <w:p w14:paraId="16A8599D" w14:textId="3C7609A3" w:rsidR="000D59B4" w:rsidRDefault="0020506A" w:rsidP="000D59B4">
      <w:pPr>
        <w:spacing w:before="240" w:after="720"/>
        <w:rPr>
          <w:rFonts w:ascii="Calibri Light" w:hAnsi="Calibri Light" w:cs="Calibri Light"/>
        </w:rPr>
      </w:pPr>
      <w:r w:rsidRPr="00FA24C7">
        <w:rPr>
          <w:rFonts w:ascii="Calibri Light" w:hAnsi="Calibri Light" w:cs="Calibri Light"/>
          <w:sz w:val="28"/>
          <w:szCs w:val="28"/>
        </w:rPr>
        <w:t xml:space="preserve">Now, therefore, let it be resolved that </w:t>
      </w:r>
      <w:r w:rsidRPr="00FA24C7">
        <w:rPr>
          <w:rFonts w:ascii="Calibri Light" w:hAnsi="Calibri Light" w:cs="Calibri Light"/>
          <w:b/>
          <w:color w:val="0070C0"/>
          <w:sz w:val="28"/>
          <w:szCs w:val="28"/>
        </w:rPr>
        <w:t>[City/County</w:t>
      </w:r>
      <w:r w:rsidR="000D59B4">
        <w:rPr>
          <w:rFonts w:ascii="Calibri Light" w:hAnsi="Calibri Light" w:cs="Calibri Light"/>
          <w:b/>
          <w:color w:val="0070C0"/>
          <w:sz w:val="28"/>
          <w:szCs w:val="28"/>
        </w:rPr>
        <w:t>/Organization</w:t>
      </w:r>
      <w:r w:rsidRPr="00FA24C7">
        <w:rPr>
          <w:rFonts w:ascii="Calibri Light" w:hAnsi="Calibri Light" w:cs="Calibri Light"/>
          <w:b/>
          <w:color w:val="0070C0"/>
          <w:sz w:val="28"/>
          <w:szCs w:val="28"/>
        </w:rPr>
        <w:t>]</w:t>
      </w:r>
      <w:r w:rsidRPr="00FA24C7">
        <w:rPr>
          <w:rFonts w:ascii="Calibri Light" w:hAnsi="Calibri Light" w:cs="Calibri Light"/>
          <w:color w:val="0070C0"/>
          <w:sz w:val="28"/>
          <w:szCs w:val="28"/>
        </w:rPr>
        <w:t xml:space="preserve"> </w:t>
      </w:r>
      <w:r w:rsidR="00B76457">
        <w:rPr>
          <w:rFonts w:ascii="Calibri Light" w:hAnsi="Calibri Light" w:cs="Calibri Light"/>
          <w:sz w:val="28"/>
          <w:szCs w:val="28"/>
        </w:rPr>
        <w:t xml:space="preserve">will </w:t>
      </w:r>
      <w:r>
        <w:rPr>
          <w:rFonts w:ascii="Calibri Light" w:hAnsi="Calibri Light" w:cs="Calibri Light"/>
          <w:sz w:val="28"/>
          <w:szCs w:val="28"/>
        </w:rPr>
        <w:t xml:space="preserve">include in our legislative platform </w:t>
      </w:r>
      <w:r w:rsidRPr="00FA24C7">
        <w:rPr>
          <w:rFonts w:ascii="Calibri Light" w:hAnsi="Calibri Light" w:cs="Calibri Light"/>
          <w:sz w:val="28"/>
          <w:szCs w:val="28"/>
        </w:rPr>
        <w:t>support</w:t>
      </w:r>
      <w:r>
        <w:rPr>
          <w:rFonts w:ascii="Calibri Light" w:hAnsi="Calibri Light" w:cs="Calibri Light"/>
          <w:sz w:val="28"/>
          <w:szCs w:val="28"/>
        </w:rPr>
        <w:t xml:space="preserve"> for</w:t>
      </w:r>
      <w:r w:rsidRPr="00FA24C7">
        <w:rPr>
          <w:rFonts w:ascii="Calibri Light" w:hAnsi="Calibri Light" w:cs="Calibri Light"/>
          <w:sz w:val="28"/>
          <w:szCs w:val="28"/>
        </w:rPr>
        <w:t xml:space="preserve"> </w:t>
      </w:r>
      <w:r w:rsidR="00F60A45" w:rsidRPr="00FA24C7">
        <w:rPr>
          <w:rFonts w:ascii="Calibri Light" w:hAnsi="Calibri Light" w:cs="Calibri Light"/>
          <w:sz w:val="28"/>
          <w:szCs w:val="28"/>
        </w:rPr>
        <w:t>the establishment of</w:t>
      </w:r>
      <w:r w:rsidR="00F60A45">
        <w:rPr>
          <w:rFonts w:ascii="Calibri Light" w:hAnsi="Calibri Light" w:cs="Calibri Light"/>
          <w:sz w:val="28"/>
          <w:szCs w:val="28"/>
        </w:rPr>
        <w:t xml:space="preserve"> </w:t>
      </w:r>
      <w:r w:rsidR="00935FAA">
        <w:rPr>
          <w:rFonts w:ascii="Calibri Light" w:hAnsi="Calibri Light" w:cs="Calibri Light"/>
        </w:rPr>
        <w:t>a</w:t>
      </w:r>
      <w:r w:rsidR="00F60A45" w:rsidRPr="00FA24C7">
        <w:rPr>
          <w:rFonts w:ascii="Calibri Light" w:hAnsi="Calibri Light" w:cs="Calibri Light"/>
        </w:rPr>
        <w:t xml:space="preserve"> California Wellness Trust, or other mechanism</w:t>
      </w:r>
      <w:r w:rsidR="00F60A45">
        <w:rPr>
          <w:rFonts w:ascii="Calibri Light" w:hAnsi="Calibri Light" w:cs="Calibri Light"/>
        </w:rPr>
        <w:t>,</w:t>
      </w:r>
      <w:r w:rsidR="00F60A45" w:rsidRPr="00FA24C7">
        <w:rPr>
          <w:rFonts w:ascii="Calibri Light" w:hAnsi="Calibri Light" w:cs="Calibri Light"/>
        </w:rPr>
        <w:t xml:space="preserve"> to assure sustained, dedicated investment </w:t>
      </w:r>
      <w:r w:rsidR="00F60A45">
        <w:rPr>
          <w:rFonts w:ascii="Calibri Light" w:hAnsi="Calibri Light" w:cs="Calibri Light"/>
        </w:rPr>
        <w:t xml:space="preserve">in </w:t>
      </w:r>
      <w:r w:rsidR="00F60A45" w:rsidRPr="00FA24C7">
        <w:rPr>
          <w:rFonts w:ascii="Calibri Light" w:hAnsi="Calibri Light" w:cs="Calibri Light"/>
        </w:rPr>
        <w:t>prevent</w:t>
      </w:r>
      <w:r w:rsidR="00F60A45">
        <w:rPr>
          <w:rFonts w:ascii="Calibri Light" w:hAnsi="Calibri Light" w:cs="Calibri Light"/>
        </w:rPr>
        <w:t>ing</w:t>
      </w:r>
      <w:r w:rsidR="00F60A45" w:rsidRPr="00FA24C7">
        <w:rPr>
          <w:rFonts w:ascii="Calibri Light" w:hAnsi="Calibri Light" w:cs="Calibri Light"/>
        </w:rPr>
        <w:t xml:space="preserve"> the leading causes of illness, injury, and premature death in California</w:t>
      </w:r>
      <w:r w:rsidR="00F60A45">
        <w:rPr>
          <w:rFonts w:ascii="Calibri Light" w:hAnsi="Calibri Light" w:cs="Calibri Light"/>
        </w:rPr>
        <w:t xml:space="preserve"> by </w:t>
      </w:r>
      <w:r w:rsidR="00F60A45" w:rsidRPr="00FA24C7">
        <w:rPr>
          <w:rFonts w:ascii="Calibri Light" w:hAnsi="Calibri Light" w:cs="Calibri Light"/>
        </w:rPr>
        <w:t>address</w:t>
      </w:r>
      <w:r w:rsidR="00F60A45">
        <w:rPr>
          <w:rFonts w:ascii="Calibri Light" w:hAnsi="Calibri Light" w:cs="Calibri Light"/>
        </w:rPr>
        <w:t xml:space="preserve">ing </w:t>
      </w:r>
      <w:r w:rsidR="00F60A45" w:rsidRPr="00FA24C7">
        <w:rPr>
          <w:rFonts w:ascii="Calibri Light" w:hAnsi="Calibri Light" w:cs="Calibri Light"/>
        </w:rPr>
        <w:t>the root causes of these conditions</w:t>
      </w:r>
      <w:r w:rsidR="00F60A45">
        <w:rPr>
          <w:rFonts w:ascii="Calibri Light" w:hAnsi="Calibri Light" w:cs="Calibri Light"/>
        </w:rPr>
        <w:t xml:space="preserve"> in order to</w:t>
      </w:r>
      <w:r w:rsidR="00F60A45" w:rsidRPr="00FA24C7">
        <w:rPr>
          <w:rFonts w:ascii="Calibri Light" w:hAnsi="Calibri Light" w:cs="Calibri Light"/>
        </w:rPr>
        <w:t xml:space="preserve"> promote greater health equity, build healthier communities through community-based disease prevention and wellness efforts</w:t>
      </w:r>
      <w:r w:rsidR="00F60A45">
        <w:rPr>
          <w:rFonts w:ascii="Calibri Light" w:hAnsi="Calibri Light" w:cs="Calibri Light"/>
        </w:rPr>
        <w:t>,</w:t>
      </w:r>
      <w:r w:rsidR="00F60A45" w:rsidRPr="00FA24C7">
        <w:rPr>
          <w:rFonts w:ascii="Calibri Light" w:hAnsi="Calibri Light" w:cs="Calibri Light"/>
        </w:rPr>
        <w:t xml:space="preserve"> and make our healthcare dollars go further.</w:t>
      </w:r>
    </w:p>
    <w:p w14:paraId="175C95B9" w14:textId="77777777" w:rsidR="000D59B4" w:rsidRDefault="000D59B4" w:rsidP="000D59B4">
      <w:pPr>
        <w:spacing w:before="240" w:after="720"/>
        <w:rPr>
          <w:color w:val="0070C0"/>
        </w:rPr>
      </w:pPr>
    </w:p>
    <w:p w14:paraId="31542AFF" w14:textId="7EB5DEDC" w:rsidR="006A1D1E" w:rsidRPr="003D0DFF" w:rsidRDefault="000D59B4" w:rsidP="00162D04">
      <w:pPr>
        <w:pStyle w:val="Heading1"/>
        <w:spacing w:before="0" w:after="240"/>
        <w:rPr>
          <w:color w:val="0070C0"/>
        </w:rPr>
      </w:pPr>
      <w:r>
        <w:rPr>
          <w:color w:val="0070C0"/>
        </w:rPr>
        <w:t>W</w:t>
      </w:r>
      <w:r w:rsidR="00D07BE7" w:rsidRPr="003D0DFF">
        <w:rPr>
          <w:color w:val="0070C0"/>
        </w:rPr>
        <w:t xml:space="preserve">here it is feasible for </w:t>
      </w:r>
      <w:r w:rsidRPr="000D59B4">
        <w:rPr>
          <w:b/>
          <w:color w:val="0070C0"/>
        </w:rPr>
        <w:t>[City/County/Organization]</w:t>
      </w:r>
      <w:r w:rsidR="00D07BE7" w:rsidRPr="003D0DFF">
        <w:rPr>
          <w:color w:val="0070C0"/>
        </w:rPr>
        <w:t xml:space="preserve"> to recognize the need for taxation revenue</w:t>
      </w:r>
      <w:r w:rsidR="00CF34EA" w:rsidRPr="003D0DFF">
        <w:rPr>
          <w:color w:val="0070C0"/>
        </w:rPr>
        <w:t>:</w:t>
      </w:r>
    </w:p>
    <w:p w14:paraId="15741F21" w14:textId="11B340EF" w:rsidR="00E2156B" w:rsidRDefault="00CF34EA" w:rsidP="00162D04">
      <w:pPr>
        <w:rPr>
          <w:rFonts w:ascii="Calibri Light" w:hAnsi="Calibri Light" w:cs="Calibri Light"/>
          <w:sz w:val="23"/>
          <w:szCs w:val="23"/>
        </w:rPr>
      </w:pPr>
      <w:r>
        <w:rPr>
          <w:rFonts w:ascii="Calibri Light" w:hAnsi="Calibri Light" w:cs="Calibri Light"/>
          <w:color w:val="000000" w:themeColor="text1"/>
          <w:sz w:val="28"/>
          <w:szCs w:val="28"/>
        </w:rPr>
        <w:t>Add</w:t>
      </w:r>
      <w:r w:rsidR="00013E96">
        <w:rPr>
          <w:rFonts w:ascii="Calibri Light" w:hAnsi="Calibri Light" w:cs="Calibri Light"/>
          <w:color w:val="000000" w:themeColor="text1"/>
          <w:sz w:val="26"/>
          <w:szCs w:val="26"/>
        </w:rPr>
        <w:t>:</w:t>
      </w:r>
      <w:r w:rsidR="006A1D1E">
        <w:rPr>
          <w:rFonts w:ascii="Calibri Light" w:hAnsi="Calibri Light" w:cs="Calibri Light"/>
          <w:color w:val="000000" w:themeColor="text1"/>
          <w:sz w:val="26"/>
          <w:szCs w:val="26"/>
        </w:rPr>
        <w:t xml:space="preserve"> </w:t>
      </w:r>
      <w:r w:rsidR="00D07BE7" w:rsidRPr="00FA24C7">
        <w:rPr>
          <w:rFonts w:ascii="Calibri Light" w:hAnsi="Calibri Light" w:cs="Calibri Light"/>
        </w:rPr>
        <w:t>Furthermore, we recognize the need for new revenue sources to assure and sustain these investments, including the use of taxation of unhealthy products that substantially contribute to the burden of preventable illness, such as sugar sweetened beverages or alcohol, to support these efforts.</w:t>
      </w:r>
    </w:p>
    <w:p w14:paraId="706146DC" w14:textId="69EB2CEE" w:rsidR="00E2156B" w:rsidRPr="00A77D2B" w:rsidRDefault="00E2156B" w:rsidP="000D59B4">
      <w:pPr>
        <w:spacing w:before="1440"/>
        <w:rPr>
          <w:rFonts w:ascii="Calibri Light" w:hAnsi="Calibri Light" w:cs="Calibri Light"/>
          <w:color w:val="2F5496" w:themeColor="accent1" w:themeShade="BF"/>
          <w:sz w:val="20"/>
          <w:szCs w:val="20"/>
        </w:rPr>
      </w:pPr>
      <w:r>
        <w:rPr>
          <w:rFonts w:ascii="Calibri Light" w:hAnsi="Calibri Light" w:cs="Calibri Light"/>
          <w:color w:val="2F5496" w:themeColor="accent1" w:themeShade="BF"/>
          <w:sz w:val="20"/>
          <w:szCs w:val="20"/>
        </w:rPr>
        <w:t>F</w:t>
      </w:r>
      <w:r w:rsidRPr="00A77D2B">
        <w:rPr>
          <w:rFonts w:ascii="Calibri Light" w:hAnsi="Calibri Light" w:cs="Calibri Light"/>
          <w:color w:val="2F5496" w:themeColor="accent1" w:themeShade="BF"/>
          <w:sz w:val="20"/>
          <w:szCs w:val="20"/>
        </w:rPr>
        <w:t>or further information</w:t>
      </w:r>
      <w:r>
        <w:rPr>
          <w:rFonts w:ascii="Calibri Light" w:hAnsi="Calibri Light" w:cs="Calibri Light"/>
          <w:color w:val="2F5496" w:themeColor="accent1" w:themeShade="BF"/>
          <w:sz w:val="20"/>
          <w:szCs w:val="20"/>
        </w:rPr>
        <w:t xml:space="preserve"> or assistance</w:t>
      </w:r>
      <w:r w:rsidRPr="00A77D2B">
        <w:rPr>
          <w:rFonts w:ascii="Calibri Light" w:hAnsi="Calibri Light" w:cs="Calibri Light"/>
          <w:color w:val="2F5496" w:themeColor="accent1" w:themeShade="BF"/>
          <w:sz w:val="20"/>
          <w:szCs w:val="20"/>
        </w:rPr>
        <w:t xml:space="preserve">, please contact Tracey Rattray, </w:t>
      </w:r>
      <w:r>
        <w:rPr>
          <w:rFonts w:ascii="Calibri Light" w:hAnsi="Calibri Light" w:cs="Calibri Light"/>
          <w:color w:val="2F5496" w:themeColor="accent1" w:themeShade="BF"/>
          <w:sz w:val="20"/>
          <w:szCs w:val="20"/>
        </w:rPr>
        <w:t xml:space="preserve">Executive </w:t>
      </w:r>
      <w:r w:rsidRPr="00A77D2B">
        <w:rPr>
          <w:rFonts w:ascii="Calibri Light" w:hAnsi="Calibri Light" w:cs="Calibri Light"/>
          <w:color w:val="2F5496" w:themeColor="accent1" w:themeShade="BF"/>
          <w:sz w:val="20"/>
          <w:szCs w:val="20"/>
        </w:rPr>
        <w:t>Director, California Alliance for Prevention Funding</w:t>
      </w:r>
      <w:r w:rsidR="00CE17BE">
        <w:rPr>
          <w:rFonts w:ascii="Calibri Light" w:hAnsi="Calibri Light" w:cs="Calibri Light"/>
          <w:color w:val="2F5496" w:themeColor="accent1" w:themeShade="BF"/>
          <w:sz w:val="20"/>
          <w:szCs w:val="20"/>
        </w:rPr>
        <w:t xml:space="preserve">, a project of the Public Health Institute. </w:t>
      </w:r>
      <w:r w:rsidRPr="00A77D2B">
        <w:rPr>
          <w:rFonts w:ascii="Calibri Light" w:hAnsi="Calibri Light" w:cs="Calibri Light"/>
          <w:color w:val="2F5496" w:themeColor="accent1" w:themeShade="BF"/>
          <w:sz w:val="20"/>
          <w:szCs w:val="20"/>
        </w:rPr>
        <w:t xml:space="preserve">  </w:t>
      </w:r>
      <w:hyperlink r:id="rId9" w:history="1">
        <w:r w:rsidRPr="005734F6">
          <w:rPr>
            <w:rStyle w:val="Hyperlink"/>
            <w:rFonts w:ascii="Calibri Light" w:hAnsi="Calibri Light" w:cs="Calibri Light"/>
            <w:sz w:val="20"/>
            <w:szCs w:val="20"/>
          </w:rPr>
          <w:t>Tracey.rattray@phi.org</w:t>
        </w:r>
      </w:hyperlink>
      <w:r w:rsidR="00A4605D">
        <w:rPr>
          <w:rFonts w:ascii="Calibri Light" w:hAnsi="Calibri Light" w:cs="Calibri Light"/>
          <w:color w:val="2F5496" w:themeColor="accent1" w:themeShade="BF"/>
          <w:sz w:val="20"/>
          <w:szCs w:val="20"/>
        </w:rPr>
        <w:t>,</w:t>
      </w:r>
      <w:r>
        <w:rPr>
          <w:rFonts w:ascii="Calibri Light" w:hAnsi="Calibri Light" w:cs="Calibri Light"/>
          <w:color w:val="2F5496" w:themeColor="accent1" w:themeShade="BF"/>
          <w:sz w:val="20"/>
          <w:szCs w:val="20"/>
        </w:rPr>
        <w:t xml:space="preserve"> </w:t>
      </w:r>
      <w:r w:rsidR="003B1D64">
        <w:rPr>
          <w:rFonts w:ascii="Calibri Light" w:hAnsi="Calibri Light" w:cs="Calibri Light"/>
          <w:color w:val="2F5496" w:themeColor="accent1" w:themeShade="BF"/>
          <w:sz w:val="20"/>
          <w:szCs w:val="20"/>
        </w:rPr>
        <w:t>(510) 285-5741</w:t>
      </w:r>
    </w:p>
    <w:p w14:paraId="71E6C838" w14:textId="51C722C9" w:rsidR="00FA24C7" w:rsidRDefault="00FA24C7">
      <w:pPr>
        <w:spacing w:after="160" w:line="259" w:lineRule="auto"/>
        <w:rPr>
          <w:rFonts w:ascii="Calibri Light" w:hAnsi="Calibri Light" w:cs="Calibri Light"/>
          <w:sz w:val="23"/>
          <w:szCs w:val="23"/>
        </w:rPr>
      </w:pPr>
      <w:r>
        <w:rPr>
          <w:rFonts w:ascii="Calibri Light" w:hAnsi="Calibri Light" w:cs="Calibri Light"/>
          <w:sz w:val="23"/>
          <w:szCs w:val="23"/>
        </w:rPr>
        <w:br w:type="page"/>
      </w:r>
    </w:p>
    <w:p w14:paraId="1509931F" w14:textId="77777777" w:rsidR="00FA24C7" w:rsidRDefault="00FA24C7" w:rsidP="00BB02A7">
      <w:pPr>
        <w:rPr>
          <w:rFonts w:ascii="Calibri Light" w:hAnsi="Calibri Light" w:cs="Calibri Light"/>
          <w:sz w:val="23"/>
          <w:szCs w:val="23"/>
        </w:rPr>
      </w:pPr>
    </w:p>
    <w:p w14:paraId="6CB2A59F" w14:textId="2521997A" w:rsidR="00D07BE7" w:rsidRDefault="00D07BE7" w:rsidP="00FA24C7">
      <w:pPr>
        <w:spacing w:before="720"/>
        <w:rPr>
          <w:rFonts w:ascii="Calibri Light" w:hAnsi="Calibri Light" w:cs="Calibri Light"/>
          <w:sz w:val="23"/>
          <w:szCs w:val="23"/>
        </w:rPr>
      </w:pPr>
      <w:r w:rsidRPr="00FA24C7">
        <w:rPr>
          <w:rFonts w:ascii="Calibri Light" w:hAnsi="Calibri Light" w:cs="Calibri Light"/>
        </w:rPr>
        <w:t>References</w:t>
      </w:r>
      <w:r>
        <w:rPr>
          <w:rFonts w:ascii="Calibri Light" w:hAnsi="Calibri Light" w:cs="Calibri Light"/>
          <w:sz w:val="23"/>
          <w:szCs w:val="23"/>
        </w:rPr>
        <w:t>:</w:t>
      </w:r>
    </w:p>
    <w:p w14:paraId="0B88E9A1" w14:textId="25A3A9BC" w:rsidR="00FA24C7" w:rsidRDefault="00FA24C7" w:rsidP="00D07BE7">
      <w:pPr>
        <w:rPr>
          <w:rFonts w:ascii="Calibri Light" w:hAnsi="Calibri Light" w:cs="Calibri Light"/>
          <w:sz w:val="23"/>
          <w:szCs w:val="23"/>
        </w:rPr>
        <w:sectPr w:rsidR="00FA24C7" w:rsidSect="00FA24C7">
          <w:endnotePr>
            <w:numFmt w:val="decimal"/>
          </w:endnotePr>
          <w:pgSz w:w="12240" w:h="15840" w:code="1"/>
          <w:pgMar w:top="187" w:right="1224" w:bottom="1224" w:left="1224" w:header="720" w:footer="720" w:gutter="0"/>
          <w:pgBorders w:offsetFrom="page">
            <w:top w:val="double" w:sz="4" w:space="20" w:color="FFC000" w:themeColor="accent4"/>
            <w:left w:val="double" w:sz="4" w:space="20" w:color="FFC000" w:themeColor="accent4"/>
            <w:bottom w:val="double" w:sz="4" w:space="20" w:color="FFC000" w:themeColor="accent4"/>
            <w:right w:val="double" w:sz="4" w:space="20" w:color="FFC000" w:themeColor="accent4"/>
          </w:pgBorders>
          <w:cols w:space="720"/>
          <w:docGrid w:linePitch="360"/>
        </w:sectPr>
      </w:pPr>
    </w:p>
    <w:p w14:paraId="1046855F" w14:textId="77777777" w:rsidR="00D07BE7" w:rsidRDefault="00D07BE7" w:rsidP="00D07BE7"/>
    <w:p w14:paraId="5EA25E0F" w14:textId="77777777" w:rsidR="00145828" w:rsidRDefault="00145828" w:rsidP="009A101B">
      <w:pPr>
        <w:autoSpaceDE w:val="0"/>
        <w:autoSpaceDN w:val="0"/>
        <w:adjustRightInd w:val="0"/>
        <w:contextualSpacing/>
        <w:rPr>
          <w:b/>
          <w:color w:val="000000" w:themeColor="text1"/>
          <w:sz w:val="28"/>
          <w:szCs w:val="28"/>
        </w:rPr>
      </w:pPr>
    </w:p>
    <w:p w14:paraId="7C7745C8" w14:textId="0A1282B0" w:rsidR="00D07BE7" w:rsidRDefault="00D07BE7" w:rsidP="009A101B">
      <w:pPr>
        <w:autoSpaceDE w:val="0"/>
        <w:autoSpaceDN w:val="0"/>
        <w:adjustRightInd w:val="0"/>
        <w:spacing w:after="600"/>
        <w:contextualSpacing/>
        <w:jc w:val="center"/>
        <w:rPr>
          <w:b/>
          <w:color w:val="000000" w:themeColor="text1"/>
          <w:sz w:val="28"/>
          <w:szCs w:val="28"/>
        </w:rPr>
      </w:pPr>
      <w:r w:rsidRPr="00B81D25">
        <w:rPr>
          <w:b/>
          <w:color w:val="000000" w:themeColor="text1"/>
          <w:sz w:val="28"/>
          <w:szCs w:val="28"/>
        </w:rPr>
        <w:t>County-specific Data for Whereas Clause #5</w:t>
      </w:r>
    </w:p>
    <w:p w14:paraId="717C8557" w14:textId="77777777" w:rsidR="00145828" w:rsidRDefault="00145828" w:rsidP="009A101B">
      <w:pPr>
        <w:autoSpaceDE w:val="0"/>
        <w:autoSpaceDN w:val="0"/>
        <w:adjustRightInd w:val="0"/>
        <w:contextualSpacing/>
        <w:jc w:val="center"/>
        <w:rPr>
          <w:b/>
          <w:color w:val="000000" w:themeColor="text1"/>
          <w:sz w:val="28"/>
          <w:szCs w:val="28"/>
        </w:rPr>
      </w:pPr>
    </w:p>
    <w:tbl>
      <w:tblPr>
        <w:tblStyle w:val="GridTable2-Accent41"/>
        <w:tblW w:w="10800" w:type="dxa"/>
        <w:jc w:val="center"/>
        <w:tblLook w:val="0480" w:firstRow="0" w:lastRow="0" w:firstColumn="1" w:lastColumn="0" w:noHBand="0" w:noVBand="1"/>
      </w:tblPr>
      <w:tblGrid>
        <w:gridCol w:w="3490"/>
        <w:gridCol w:w="3689"/>
        <w:gridCol w:w="3621"/>
      </w:tblGrid>
      <w:tr w:rsidR="00D07BE7" w14:paraId="13B8D3A6" w14:textId="77777777" w:rsidTr="009378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06BCF34F" w14:textId="77777777" w:rsidR="00D07BE7" w:rsidRDefault="00D07BE7" w:rsidP="0093780D">
            <w:pPr>
              <w:spacing w:before="60"/>
            </w:pPr>
            <w:r>
              <w:t>County</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9CED5AC" w14:textId="03124597" w:rsidR="00D07BE7" w:rsidRPr="00D577CF" w:rsidRDefault="00D07BE7" w:rsidP="0093780D">
            <w:pPr>
              <w:spacing w:before="60" w:after="120"/>
              <w:cnfStyle w:val="000000100000" w:firstRow="0" w:lastRow="0" w:firstColumn="0" w:lastColumn="0" w:oddVBand="0" w:evenVBand="0" w:oddHBand="1" w:evenHBand="0" w:firstRowFirstColumn="0" w:firstRowLastColumn="0" w:lastRowFirstColumn="0" w:lastRowLastColumn="0"/>
              <w:rPr>
                <w:b/>
              </w:rPr>
            </w:pPr>
            <w:r>
              <w:rPr>
                <w:b/>
              </w:rPr>
              <w:t>Total d</w:t>
            </w:r>
            <w:r w:rsidRPr="00DD7841">
              <w:rPr>
                <w:b/>
              </w:rPr>
              <w:t xml:space="preserve">ollars </w:t>
            </w:r>
            <w:r>
              <w:rPr>
                <w:b/>
              </w:rPr>
              <w:t>spent treating six leading chronic conditions in 2010</w:t>
            </w:r>
            <w:r>
              <w:rPr>
                <w:rStyle w:val="EndnoteReference"/>
                <w:b/>
              </w:rPr>
              <w:endnoteReference w:id="16"/>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2EE7F543" w14:textId="25237B58" w:rsidR="00D07BE7" w:rsidRPr="00DD7841" w:rsidRDefault="00D07BE7" w:rsidP="0093780D">
            <w:pPr>
              <w:spacing w:before="60" w:after="120"/>
              <w:cnfStyle w:val="000000100000" w:firstRow="0" w:lastRow="0" w:firstColumn="0" w:lastColumn="0" w:oddVBand="0" w:evenVBand="0" w:oddHBand="1" w:evenHBand="0" w:firstRowFirstColumn="0" w:firstRowLastColumn="0" w:lastRowFirstColumn="0" w:lastRowLastColumn="0"/>
              <w:rPr>
                <w:b/>
              </w:rPr>
            </w:pPr>
            <w:r>
              <w:rPr>
                <w:b/>
              </w:rPr>
              <w:t>Dollars spent per person on six leading chronic conditions in 2010</w:t>
            </w:r>
            <w:r>
              <w:rPr>
                <w:rStyle w:val="EndnoteReference"/>
                <w:b/>
              </w:rPr>
              <w:endnoteReference w:id="17"/>
            </w:r>
            <w:r>
              <w:rPr>
                <w:b/>
              </w:rPr>
              <w:t xml:space="preserve"> </w:t>
            </w:r>
            <w:r>
              <w:rPr>
                <w:rStyle w:val="EndnoteReference"/>
                <w:b/>
              </w:rPr>
              <w:endnoteReference w:id="18"/>
            </w:r>
          </w:p>
        </w:tc>
      </w:tr>
      <w:tr w:rsidR="00491958" w14:paraId="1C380EE9" w14:textId="77777777" w:rsidTr="0093780D">
        <w:trPr>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349C45A5" w14:textId="55161CAB" w:rsidR="00491958" w:rsidRDefault="00491958" w:rsidP="0093780D">
            <w:pPr>
              <w:spacing w:before="20" w:after="20"/>
            </w:pPr>
            <w:r w:rsidRPr="001A7BB9">
              <w:t>Alameda</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6A28A993" w14:textId="413F7F52"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$4,187,321,026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34FE560D" w14:textId="1D5D1805"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$2,767 </w:t>
            </w:r>
          </w:p>
        </w:tc>
      </w:tr>
      <w:tr w:rsidR="00491958" w14:paraId="50C5A9A9" w14:textId="77777777" w:rsidTr="009378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2DA0C07C" w14:textId="36097EEF" w:rsidR="00491958" w:rsidRDefault="00491958" w:rsidP="0093780D">
            <w:pPr>
              <w:spacing w:before="20" w:after="20"/>
            </w:pPr>
            <w:r w:rsidRPr="001A7BB9">
              <w:t>Alpine</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0B052599" w14:textId="0C5B318D"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$3,508,314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5F801C2C" w14:textId="20B418B6"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$3,059 </w:t>
            </w:r>
          </w:p>
        </w:tc>
      </w:tr>
      <w:tr w:rsidR="00491958" w14:paraId="174EF943" w14:textId="77777777" w:rsidTr="0093780D">
        <w:trPr>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A0AA4E4" w14:textId="2398DD51" w:rsidR="00491958" w:rsidRDefault="00491958" w:rsidP="0093780D">
            <w:pPr>
              <w:spacing w:before="20" w:after="20"/>
            </w:pPr>
            <w:r w:rsidRPr="001A7BB9">
              <w:t>Amador</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5649945" w14:textId="10D2CBA9"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$147,166,887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4F58A8C2" w14:textId="74E00D51"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$3,882 </w:t>
            </w:r>
          </w:p>
        </w:tc>
      </w:tr>
      <w:tr w:rsidR="00491958" w14:paraId="6C2DE22E" w14:textId="77777777" w:rsidTr="009378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BBD5090" w14:textId="54EB29CB" w:rsidR="00491958" w:rsidRDefault="00491958" w:rsidP="0093780D">
            <w:pPr>
              <w:spacing w:before="20" w:after="20"/>
            </w:pPr>
            <w:r w:rsidRPr="001A7BB9">
              <w:t>Butte</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38C87A42" w14:textId="68C11C7B"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$697,175,740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7E06F690" w14:textId="0C8EFA2C"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$3,169 </w:t>
            </w:r>
          </w:p>
        </w:tc>
      </w:tr>
      <w:tr w:rsidR="00491958" w14:paraId="2D85BC1E" w14:textId="77777777" w:rsidTr="0093780D">
        <w:trPr>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374ADFE5" w14:textId="4AEFA0E6" w:rsidR="00491958" w:rsidRDefault="00491958" w:rsidP="0093780D">
            <w:pPr>
              <w:spacing w:before="20" w:after="20"/>
            </w:pPr>
            <w:r w:rsidRPr="001A7BB9">
              <w:t>Calaveras</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E7C1E4C" w14:textId="538112ED"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$172,494,242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0AA315BD" w14:textId="413C10D7"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$3,811 </w:t>
            </w:r>
          </w:p>
        </w:tc>
      </w:tr>
      <w:tr w:rsidR="00491958" w14:paraId="0E7F4677" w14:textId="77777777" w:rsidTr="009378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7E8E972C" w14:textId="22D5E780" w:rsidR="00491958" w:rsidRDefault="00491958" w:rsidP="0093780D">
            <w:pPr>
              <w:spacing w:before="20" w:after="20"/>
            </w:pPr>
            <w:r w:rsidRPr="001A7BB9">
              <w:t>Colusa</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3F4A6FBE" w14:textId="7345A771"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$52,721,383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25AD9023" w14:textId="2803D5A3"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$2,458 </w:t>
            </w:r>
          </w:p>
        </w:tc>
      </w:tr>
      <w:tr w:rsidR="00491958" w14:paraId="1A4B03BD" w14:textId="77777777" w:rsidTr="0093780D">
        <w:trPr>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3BEFC1A" w14:textId="52900320" w:rsidR="00491958" w:rsidRDefault="00491958" w:rsidP="0093780D">
            <w:pPr>
              <w:spacing w:before="20" w:after="20"/>
            </w:pPr>
            <w:r w:rsidRPr="001A7BB9">
              <w:t>Contra Costa</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0DA461E" w14:textId="6B8E56D3"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$3,188,663,779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20C0AA1E" w14:textId="2539CE61"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$3,030 </w:t>
            </w:r>
          </w:p>
        </w:tc>
      </w:tr>
      <w:tr w:rsidR="00491958" w14:paraId="4AA4E7B7" w14:textId="77777777" w:rsidTr="009378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ADB1E09" w14:textId="72E177CC" w:rsidR="00491958" w:rsidRDefault="00491958" w:rsidP="0093780D">
            <w:pPr>
              <w:spacing w:before="20" w:after="20"/>
            </w:pPr>
            <w:r w:rsidRPr="001A7BB9">
              <w:t>Del Norte</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531C17D5" w14:textId="4C196F1A"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$82,814,598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77CB3B0A" w14:textId="1B5C0667"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$2,898 </w:t>
            </w:r>
          </w:p>
        </w:tc>
      </w:tr>
      <w:tr w:rsidR="00491958" w14:paraId="4D23795B" w14:textId="77777777" w:rsidTr="0093780D">
        <w:trPr>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335A45B3" w14:textId="60D69AB0" w:rsidR="00491958" w:rsidRDefault="00491958" w:rsidP="0093780D">
            <w:pPr>
              <w:spacing w:before="20" w:after="20"/>
            </w:pPr>
            <w:r w:rsidRPr="001A7BB9">
              <w:t>El Dorado</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2930C549" w14:textId="43C2F415"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$562,281,813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4F0D5284" w14:textId="06DA561A"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$3,103 </w:t>
            </w:r>
          </w:p>
        </w:tc>
      </w:tr>
      <w:tr w:rsidR="00491958" w14:paraId="71364237" w14:textId="77777777" w:rsidTr="0093780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64F36502" w14:textId="2DF96A73" w:rsidR="00491958" w:rsidRDefault="00491958" w:rsidP="0093780D">
            <w:pPr>
              <w:spacing w:before="20" w:after="20"/>
            </w:pPr>
            <w:r w:rsidRPr="001A7BB9">
              <w:t>Fresno</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6876EC78" w14:textId="7B5A82A7"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$2,119,292,713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355AA344" w14:textId="21D2E301"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$2,271 </w:t>
            </w:r>
          </w:p>
        </w:tc>
      </w:tr>
      <w:tr w:rsidR="00491958" w14:paraId="6FE3E0F1"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B7E9658" w14:textId="54759957" w:rsidR="00491958" w:rsidRDefault="00491958" w:rsidP="0093780D">
            <w:pPr>
              <w:spacing w:before="20" w:after="20"/>
            </w:pPr>
            <w:r w:rsidRPr="001A7BB9">
              <w:t>Glenn</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625A61BE" w14:textId="5A5349C9"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$78,029,648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4064A392" w14:textId="325B746F"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$2,768 </w:t>
            </w:r>
          </w:p>
        </w:tc>
      </w:tr>
      <w:tr w:rsidR="00491958" w14:paraId="098E53DD" w14:textId="77777777" w:rsidTr="0093780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DB18325" w14:textId="3E887719" w:rsidR="00491958" w:rsidRDefault="00491958" w:rsidP="0093780D">
            <w:pPr>
              <w:spacing w:before="20" w:after="20"/>
            </w:pPr>
            <w:r w:rsidRPr="001A7BB9">
              <w:t>Humboldt</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2E010174" w14:textId="48428D72"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$396,541,461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77A17EE7" w14:textId="798E87D9"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$2,947 </w:t>
            </w:r>
          </w:p>
        </w:tc>
      </w:tr>
      <w:tr w:rsidR="00491958" w14:paraId="6345C119"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618B944B" w14:textId="144DC16B" w:rsidR="00491958" w:rsidRDefault="00491958" w:rsidP="0093780D">
            <w:pPr>
              <w:spacing w:before="20" w:after="20"/>
            </w:pPr>
            <w:r w:rsidRPr="001A7BB9">
              <w:t>Imperial</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2C4F529" w14:textId="3C3917B2"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$399,315,050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18FDFFA9" w14:textId="6BFE76E5"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$2,274 </w:t>
            </w:r>
          </w:p>
        </w:tc>
      </w:tr>
      <w:tr w:rsidR="00491958" w14:paraId="308BD0A7" w14:textId="77777777" w:rsidTr="0093780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6E7AE3A0" w14:textId="0601D65B" w:rsidR="00491958" w:rsidRDefault="00491958" w:rsidP="0093780D">
            <w:pPr>
              <w:spacing w:before="20" w:after="20"/>
            </w:pPr>
            <w:r w:rsidRPr="001A7BB9">
              <w:t>Inyo</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7B7B5407" w14:textId="754ED3DD"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$68,260,121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455387C1" w14:textId="1C24165F"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$3,665 </w:t>
            </w:r>
          </w:p>
        </w:tc>
      </w:tr>
      <w:tr w:rsidR="00491958" w14:paraId="07E379E4"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173AB72" w14:textId="0F89022E" w:rsidR="00491958" w:rsidRDefault="00491958" w:rsidP="0093780D">
            <w:pPr>
              <w:spacing w:before="20" w:after="20"/>
            </w:pPr>
            <w:r w:rsidRPr="001A7BB9">
              <w:t>Kern</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D84E319" w14:textId="6C22BB12"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$1,780,347,182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0E08EFC8" w14:textId="2F7AF2A2"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$2,115 </w:t>
            </w:r>
          </w:p>
        </w:tc>
      </w:tr>
      <w:tr w:rsidR="00491958" w14:paraId="17EC9998" w14:textId="77777777" w:rsidTr="0093780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51C49B83" w14:textId="16255D21" w:rsidR="00491958" w:rsidRDefault="00491958" w:rsidP="0093780D">
            <w:pPr>
              <w:spacing w:before="20" w:after="20"/>
            </w:pPr>
            <w:r w:rsidRPr="001A7BB9">
              <w:t>Kings</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7E8ED943" w14:textId="0B6F9010"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$300,647,462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4931D607" w14:textId="1ABB0C91"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$1,965 </w:t>
            </w:r>
          </w:p>
        </w:tc>
      </w:tr>
      <w:tr w:rsidR="00491958" w14:paraId="097E7F0D"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7D76A515" w14:textId="32727A3B" w:rsidR="00491958" w:rsidRDefault="00491958" w:rsidP="0093780D">
            <w:pPr>
              <w:spacing w:before="20" w:after="20"/>
            </w:pPr>
            <w:r w:rsidRPr="001A7BB9">
              <w:t xml:space="preserve">Lake </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BA81987" w14:textId="51F6664A"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$222,157,588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0AE83679" w14:textId="14DDD6BE"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$3,446 </w:t>
            </w:r>
          </w:p>
        </w:tc>
      </w:tr>
      <w:tr w:rsidR="00491958" w14:paraId="4200CA7E" w14:textId="77777777" w:rsidTr="0093780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72C0C54D" w14:textId="6CC7E899" w:rsidR="00491958" w:rsidRDefault="00491958" w:rsidP="0093780D">
            <w:pPr>
              <w:spacing w:before="20" w:after="20"/>
            </w:pPr>
            <w:r w:rsidRPr="001A7BB9">
              <w:t>Lassen</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685E1ACC" w14:textId="74BF12BA"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$82,902,152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7D36FFD0" w14:textId="1D83F61E"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$2,387 </w:t>
            </w:r>
          </w:p>
        </w:tc>
      </w:tr>
      <w:tr w:rsidR="00491958" w14:paraId="6175E936"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3F1D8260" w14:textId="4C331424" w:rsidR="00491958" w:rsidRDefault="00491958" w:rsidP="0093780D">
            <w:pPr>
              <w:spacing w:before="20" w:after="20"/>
            </w:pPr>
            <w:r w:rsidRPr="001A7BB9">
              <w:t>Los Angeles</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6A1F7178" w14:textId="613E4E59"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$25,355,680,148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5350E534" w14:textId="6A858E20"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$2,580 </w:t>
            </w:r>
          </w:p>
        </w:tc>
      </w:tr>
      <w:tr w:rsidR="00491958" w14:paraId="139DDFDA" w14:textId="77777777" w:rsidTr="0093780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0D5A2D5F" w14:textId="5E988BE8" w:rsidR="00491958" w:rsidRDefault="00491958" w:rsidP="0093780D">
            <w:pPr>
              <w:spacing w:before="20" w:after="20"/>
            </w:pPr>
            <w:r w:rsidRPr="001A7BB9">
              <w:t>Madera</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578B4D8F" w14:textId="2E509203"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$372,665,259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162B3BB2" w14:textId="20AA486E"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$2,465 </w:t>
            </w:r>
          </w:p>
        </w:tc>
      </w:tr>
      <w:tr w:rsidR="00491958" w14:paraId="7DBD6FDE"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78E5E6F" w14:textId="1D3C3387" w:rsidR="00491958" w:rsidRDefault="00491958" w:rsidP="0093780D">
            <w:pPr>
              <w:spacing w:before="20" w:after="20"/>
            </w:pPr>
            <w:r w:rsidRPr="001A7BB9">
              <w:t>Marin</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BC99054" w14:textId="63FE4339"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$966,074,523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0EB2D5B6" w14:textId="3FA95F87"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$3,822 </w:t>
            </w:r>
          </w:p>
        </w:tc>
      </w:tr>
      <w:tr w:rsidR="00491958" w14:paraId="72DC438D" w14:textId="77777777" w:rsidTr="0093780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0281BA9" w14:textId="29917944" w:rsidR="00491958" w:rsidRDefault="00491958" w:rsidP="0093780D">
            <w:pPr>
              <w:spacing w:before="20" w:after="20"/>
            </w:pPr>
            <w:r w:rsidRPr="001A7BB9">
              <w:t>Mariposa</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6DB9CDED" w14:textId="2C65BC26"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$69,254,670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0C1DEB65" w14:textId="5FC2A764"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$3,822 </w:t>
            </w:r>
          </w:p>
        </w:tc>
      </w:tr>
      <w:tr w:rsidR="00491958" w14:paraId="566A4143"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04FAA4AF" w14:textId="4CE5FA86" w:rsidR="00491958" w:rsidRDefault="00491958" w:rsidP="0093780D">
            <w:pPr>
              <w:spacing w:before="20" w:after="20"/>
            </w:pPr>
            <w:r w:rsidRPr="001A7BB9">
              <w:t>Mendocino</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E8C75F7" w14:textId="55EFBA7F"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$281,153,032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0D96348A" w14:textId="499C9001"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$3,197 </w:t>
            </w:r>
          </w:p>
        </w:tc>
      </w:tr>
      <w:tr w:rsidR="00491958" w14:paraId="108E9D6A" w14:textId="77777777" w:rsidTr="0093780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3971A733" w14:textId="2DC8B1D6" w:rsidR="00491958" w:rsidRDefault="00491958" w:rsidP="0093780D">
            <w:pPr>
              <w:spacing w:before="20" w:after="20"/>
            </w:pPr>
            <w:r w:rsidRPr="001A7BB9">
              <w:t>Merced</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582822B2" w14:textId="68D278EB"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$547,344,013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16C7F855" w14:textId="164D46B0"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$2,135 </w:t>
            </w:r>
          </w:p>
        </w:tc>
      </w:tr>
      <w:tr w:rsidR="00491958" w14:paraId="514F0FB9"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6261398" w14:textId="075B1957" w:rsidR="00491958" w:rsidRDefault="00491958" w:rsidP="0093780D">
            <w:pPr>
              <w:spacing w:before="20" w:after="20"/>
            </w:pPr>
            <w:r w:rsidRPr="001A7BB9">
              <w:t>Modoc</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DCA5C26" w14:textId="6D75C6F4"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$33,998,861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673E04E7" w14:textId="2D9D9CFD"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$3,514 </w:t>
            </w:r>
          </w:p>
        </w:tc>
      </w:tr>
      <w:tr w:rsidR="00491958" w14:paraId="2AD70BBE" w14:textId="77777777" w:rsidTr="0093780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72917A68" w14:textId="4CE7D3BB" w:rsidR="00491958" w:rsidRDefault="00491958" w:rsidP="0093780D">
            <w:pPr>
              <w:spacing w:before="20" w:after="20"/>
            </w:pPr>
            <w:r w:rsidRPr="001A7BB9">
              <w:t>Mono</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5211DA45" w14:textId="5A5E7AF2"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$32,721,462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11EF77E3" w14:textId="129C6197"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$2,318 </w:t>
            </w:r>
          </w:p>
        </w:tc>
      </w:tr>
      <w:tr w:rsidR="00491958" w14:paraId="2AACF727"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5252E071" w14:textId="74B27E74" w:rsidR="00491958" w:rsidRDefault="00491958" w:rsidP="0093780D">
            <w:pPr>
              <w:spacing w:before="20" w:after="20"/>
            </w:pPr>
            <w:r w:rsidRPr="001A7BB9">
              <w:t>Monterey</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50794211" w14:textId="759F7CF0"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$1,009,092,286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56E8590C" w14:textId="1458A2DE"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$2,427 </w:t>
            </w:r>
          </w:p>
        </w:tc>
      </w:tr>
      <w:tr w:rsidR="00491958" w14:paraId="713452B4" w14:textId="77777777" w:rsidTr="0093780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714F46B" w14:textId="7EAA19F4" w:rsidR="00491958" w:rsidRDefault="00491958" w:rsidP="0093780D">
            <w:pPr>
              <w:spacing w:before="20" w:after="20"/>
            </w:pPr>
            <w:r w:rsidRPr="001A7BB9">
              <w:t>Napa</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09F17F39" w14:textId="0288FA07"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$459,990,010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10AA52BA" w14:textId="276CDD4A"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$3,365 </w:t>
            </w:r>
          </w:p>
        </w:tc>
      </w:tr>
      <w:tr w:rsidR="00491958" w14:paraId="3620F9E1"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E880979" w14:textId="5EB2A28B" w:rsidR="00491958" w:rsidRDefault="00491958" w:rsidP="0093780D">
            <w:pPr>
              <w:spacing w:before="20" w:after="20"/>
            </w:pPr>
            <w:r w:rsidRPr="001A7BB9">
              <w:t>Nevada</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53E04C8F" w14:textId="5BEC9550"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$372,461,452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5EE5EF7A" w14:textId="16723408"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$3,782 </w:t>
            </w:r>
          </w:p>
        </w:tc>
      </w:tr>
      <w:tr w:rsidR="00491958" w14:paraId="7CD4AC32" w14:textId="77777777" w:rsidTr="0093780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C7D2412" w14:textId="0612A6E9" w:rsidR="00491958" w:rsidRDefault="00491958" w:rsidP="0093780D">
            <w:pPr>
              <w:spacing w:before="20" w:after="20"/>
            </w:pPr>
            <w:r w:rsidRPr="001A7BB9">
              <w:t>Orange</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07DD8FD3" w14:textId="1E2915CD"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$8,236,791,511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59E3377D" w14:textId="3642C9B5"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$2,730 </w:t>
            </w:r>
          </w:p>
        </w:tc>
      </w:tr>
      <w:tr w:rsidR="00491958" w14:paraId="4C5EAA79"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01F9F35A" w14:textId="1499E827" w:rsidR="00491958" w:rsidRDefault="00491958" w:rsidP="0093780D">
            <w:pPr>
              <w:spacing w:before="20"/>
            </w:pPr>
            <w:r w:rsidRPr="001A7BB9">
              <w:t>Placer</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6CF98435" w14:textId="29362DFE" w:rsidR="00491958" w:rsidRDefault="00491958" w:rsidP="0093780D">
            <w:pPr>
              <w:spacing w:before="20"/>
              <w:cnfStyle w:val="000000000000" w:firstRow="0" w:lastRow="0" w:firstColumn="0" w:lastColumn="0" w:oddVBand="0" w:evenVBand="0" w:oddHBand="0" w:evenHBand="0" w:firstRowFirstColumn="0" w:firstRowLastColumn="0" w:lastRowFirstColumn="0" w:lastRowLastColumn="0"/>
            </w:pPr>
            <w:r w:rsidRPr="004F126F">
              <w:t xml:space="preserve">$1,061,336,072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3B51CE28" w14:textId="3B410470" w:rsidR="00491958" w:rsidRDefault="00491958" w:rsidP="0093780D">
            <w:pPr>
              <w:spacing w:before="20"/>
              <w:cnfStyle w:val="000000000000" w:firstRow="0" w:lastRow="0" w:firstColumn="0" w:lastColumn="0" w:oddVBand="0" w:evenVBand="0" w:oddHBand="0" w:evenHBand="0" w:firstRowFirstColumn="0" w:firstRowLastColumn="0" w:lastRowFirstColumn="0" w:lastRowLastColumn="0"/>
            </w:pPr>
            <w:r w:rsidRPr="00B520F2">
              <w:t xml:space="preserve">$3,027 </w:t>
            </w:r>
          </w:p>
        </w:tc>
      </w:tr>
      <w:tr w:rsidR="009A101B" w14:paraId="7FE10048" w14:textId="77777777" w:rsidTr="0093780D">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nil"/>
              <w:bottom w:val="nil"/>
              <w:right w:val="nil"/>
            </w:tcBorders>
            <w:shd w:val="clear" w:color="auto" w:fill="auto"/>
            <w:vAlign w:val="center"/>
          </w:tcPr>
          <w:p w14:paraId="4069154C" w14:textId="77777777" w:rsidR="009A101B" w:rsidRDefault="009A101B" w:rsidP="0093780D">
            <w:pPr>
              <w:spacing w:before="120" w:after="20"/>
            </w:pPr>
          </w:p>
        </w:tc>
        <w:tc>
          <w:tcPr>
            <w:tcW w:w="3689" w:type="dxa"/>
            <w:tcBorders>
              <w:top w:val="single" w:sz="12" w:space="0" w:color="FFC000" w:themeColor="accent4"/>
              <w:left w:val="nil"/>
              <w:bottom w:val="nil"/>
              <w:right w:val="nil"/>
            </w:tcBorders>
            <w:shd w:val="clear" w:color="auto" w:fill="auto"/>
            <w:vAlign w:val="center"/>
          </w:tcPr>
          <w:p w14:paraId="1A62D0AA" w14:textId="77777777" w:rsidR="009A101B" w:rsidRDefault="009A101B" w:rsidP="0093780D">
            <w:pPr>
              <w:spacing w:before="120" w:after="20"/>
              <w:cnfStyle w:val="000000100000" w:firstRow="0" w:lastRow="0" w:firstColumn="0" w:lastColumn="0" w:oddVBand="0" w:evenVBand="0" w:oddHBand="1" w:evenHBand="0" w:firstRowFirstColumn="0" w:firstRowLastColumn="0" w:lastRowFirstColumn="0" w:lastRowLastColumn="0"/>
              <w:rPr>
                <w:b/>
              </w:rPr>
            </w:pPr>
          </w:p>
        </w:tc>
        <w:tc>
          <w:tcPr>
            <w:tcW w:w="3621" w:type="dxa"/>
            <w:tcBorders>
              <w:top w:val="single" w:sz="12" w:space="0" w:color="FFC000" w:themeColor="accent4"/>
              <w:left w:val="nil"/>
              <w:bottom w:val="nil"/>
              <w:right w:val="nil"/>
            </w:tcBorders>
            <w:shd w:val="clear" w:color="auto" w:fill="auto"/>
            <w:vAlign w:val="center"/>
          </w:tcPr>
          <w:p w14:paraId="5BEBCB3E" w14:textId="77777777" w:rsidR="009A101B" w:rsidRDefault="009A101B" w:rsidP="0093780D">
            <w:pPr>
              <w:spacing w:before="120" w:after="20"/>
              <w:cnfStyle w:val="000000100000" w:firstRow="0" w:lastRow="0" w:firstColumn="0" w:lastColumn="0" w:oddVBand="0" w:evenVBand="0" w:oddHBand="1" w:evenHBand="0" w:firstRowFirstColumn="0" w:firstRowLastColumn="0" w:lastRowFirstColumn="0" w:lastRowLastColumn="0"/>
              <w:rPr>
                <w:b/>
              </w:rPr>
            </w:pPr>
          </w:p>
        </w:tc>
      </w:tr>
      <w:tr w:rsidR="00491958" w14:paraId="465A02DB"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nil"/>
              <w:left w:val="nil"/>
              <w:bottom w:val="single" w:sz="12" w:space="0" w:color="FFC000" w:themeColor="accent4"/>
              <w:right w:val="nil"/>
            </w:tcBorders>
            <w:shd w:val="clear" w:color="auto" w:fill="auto"/>
            <w:vAlign w:val="center"/>
          </w:tcPr>
          <w:p w14:paraId="21E318C1" w14:textId="77777777" w:rsidR="00491958" w:rsidRDefault="00491958" w:rsidP="0093780D">
            <w:pPr>
              <w:spacing w:before="480" w:after="20"/>
            </w:pPr>
          </w:p>
        </w:tc>
        <w:tc>
          <w:tcPr>
            <w:tcW w:w="3689" w:type="dxa"/>
            <w:tcBorders>
              <w:top w:val="nil"/>
              <w:left w:val="nil"/>
              <w:bottom w:val="single" w:sz="12" w:space="0" w:color="FFC000" w:themeColor="accent4"/>
              <w:right w:val="nil"/>
            </w:tcBorders>
            <w:shd w:val="clear" w:color="auto" w:fill="auto"/>
            <w:vAlign w:val="center"/>
          </w:tcPr>
          <w:p w14:paraId="20397783" w14:textId="77777777" w:rsidR="00491958" w:rsidRDefault="00491958" w:rsidP="0093780D">
            <w:pPr>
              <w:spacing w:before="120" w:after="20"/>
              <w:cnfStyle w:val="000000000000" w:firstRow="0" w:lastRow="0" w:firstColumn="0" w:lastColumn="0" w:oddVBand="0" w:evenVBand="0" w:oddHBand="0" w:evenHBand="0" w:firstRowFirstColumn="0" w:firstRowLastColumn="0" w:lastRowFirstColumn="0" w:lastRowLastColumn="0"/>
              <w:rPr>
                <w:b/>
              </w:rPr>
            </w:pPr>
          </w:p>
        </w:tc>
        <w:tc>
          <w:tcPr>
            <w:tcW w:w="3621" w:type="dxa"/>
            <w:tcBorders>
              <w:top w:val="nil"/>
              <w:left w:val="nil"/>
              <w:bottom w:val="single" w:sz="12" w:space="0" w:color="FFC000" w:themeColor="accent4"/>
              <w:right w:val="nil"/>
            </w:tcBorders>
            <w:shd w:val="clear" w:color="auto" w:fill="auto"/>
            <w:vAlign w:val="center"/>
          </w:tcPr>
          <w:p w14:paraId="57AA966F" w14:textId="77777777" w:rsidR="00491958" w:rsidRDefault="00491958" w:rsidP="0093780D">
            <w:pPr>
              <w:spacing w:before="120" w:after="20"/>
              <w:cnfStyle w:val="000000000000" w:firstRow="0" w:lastRow="0" w:firstColumn="0" w:lastColumn="0" w:oddVBand="0" w:evenVBand="0" w:oddHBand="0" w:evenHBand="0" w:firstRowFirstColumn="0" w:firstRowLastColumn="0" w:lastRowFirstColumn="0" w:lastRowLastColumn="0"/>
              <w:rPr>
                <w:b/>
              </w:rPr>
            </w:pPr>
          </w:p>
        </w:tc>
      </w:tr>
      <w:tr w:rsidR="00491958" w14:paraId="1BCBC0D1" w14:textId="77777777" w:rsidTr="0093780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65D0F960" w14:textId="296A4C4D" w:rsidR="00491958" w:rsidRPr="001A7BB9" w:rsidRDefault="00491958" w:rsidP="0093780D">
            <w:pPr>
              <w:spacing w:before="120" w:after="20"/>
            </w:pPr>
            <w:r>
              <w:t>County</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CFBBC82" w14:textId="5A006F4B" w:rsidR="00491958" w:rsidRPr="004F126F" w:rsidRDefault="00491958" w:rsidP="0093780D">
            <w:pPr>
              <w:spacing w:before="120" w:after="20"/>
              <w:cnfStyle w:val="000000100000" w:firstRow="0" w:lastRow="0" w:firstColumn="0" w:lastColumn="0" w:oddVBand="0" w:evenVBand="0" w:oddHBand="1" w:evenHBand="0" w:firstRowFirstColumn="0" w:firstRowLastColumn="0" w:lastRowFirstColumn="0" w:lastRowLastColumn="0"/>
            </w:pPr>
            <w:r>
              <w:rPr>
                <w:b/>
              </w:rPr>
              <w:t>Total d</w:t>
            </w:r>
            <w:r w:rsidRPr="00DD7841">
              <w:rPr>
                <w:b/>
              </w:rPr>
              <w:t xml:space="preserve">ollars </w:t>
            </w:r>
            <w:r>
              <w:rPr>
                <w:b/>
              </w:rPr>
              <w:t>spent treating six leading chronic conditions in 2010</w:t>
            </w:r>
            <w:r>
              <w:rPr>
                <w:rStyle w:val="EndnoteReference"/>
                <w:b/>
              </w:rPr>
              <w:endnoteReference w:id="19"/>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007B7889" w14:textId="55564AB6" w:rsidR="00491958" w:rsidRPr="00B520F2" w:rsidRDefault="00491958" w:rsidP="0093780D">
            <w:pPr>
              <w:spacing w:before="120" w:after="20"/>
              <w:cnfStyle w:val="000000100000" w:firstRow="0" w:lastRow="0" w:firstColumn="0" w:lastColumn="0" w:oddVBand="0" w:evenVBand="0" w:oddHBand="1" w:evenHBand="0" w:firstRowFirstColumn="0" w:firstRowLastColumn="0" w:lastRowFirstColumn="0" w:lastRowLastColumn="0"/>
            </w:pPr>
            <w:r>
              <w:rPr>
                <w:b/>
              </w:rPr>
              <w:t>Dollars spent per person on six leading chronic conditions in 2010</w:t>
            </w:r>
            <w:r>
              <w:rPr>
                <w:rStyle w:val="EndnoteReference"/>
                <w:b/>
              </w:rPr>
              <w:endnoteReference w:id="20"/>
            </w:r>
            <w:r>
              <w:rPr>
                <w:b/>
              </w:rPr>
              <w:t xml:space="preserve"> </w:t>
            </w:r>
            <w:r>
              <w:rPr>
                <w:rStyle w:val="EndnoteReference"/>
                <w:b/>
              </w:rPr>
              <w:endnoteReference w:id="21"/>
            </w:r>
          </w:p>
        </w:tc>
      </w:tr>
      <w:tr w:rsidR="00491958" w14:paraId="69745B8A"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63BB745C" w14:textId="6F6BD9C9" w:rsidR="00491958" w:rsidRDefault="00491958" w:rsidP="0093780D">
            <w:pPr>
              <w:spacing w:before="20" w:after="20"/>
            </w:pPr>
            <w:r w:rsidRPr="001A7BB9">
              <w:t>Plumas</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296BC9F6" w14:textId="1E8F3EEB"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$76,826,445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272FA25C" w14:textId="485414CE"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$3,843 </w:t>
            </w:r>
          </w:p>
        </w:tc>
      </w:tr>
      <w:tr w:rsidR="009A101B" w14:paraId="4E939CE4" w14:textId="77777777" w:rsidTr="0093780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37F7C9F" w14:textId="178EE803" w:rsidR="00491958" w:rsidRDefault="00491958" w:rsidP="0093780D">
            <w:pPr>
              <w:spacing w:before="20" w:after="20"/>
            </w:pPr>
            <w:r w:rsidRPr="001A7BB9">
              <w:t>Riverside</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0CDCAFF0" w14:textId="786D8872"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$5,425,224,042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09564B4E" w14:textId="5CAEEDB0"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$2,475 </w:t>
            </w:r>
          </w:p>
        </w:tc>
      </w:tr>
      <w:tr w:rsidR="00491958" w14:paraId="16ABD30E"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7D9C9D48" w14:textId="60677575" w:rsidR="00491958" w:rsidRDefault="00491958" w:rsidP="0093780D">
            <w:pPr>
              <w:spacing w:before="20" w:after="20"/>
            </w:pPr>
            <w:r w:rsidRPr="001A7BB9">
              <w:t>Sacramento</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7C4ACE8F" w14:textId="1D187DC5"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$3,633,033,073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5CE34A72" w14:textId="3DE16463"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$2,558 </w:t>
            </w:r>
          </w:p>
        </w:tc>
      </w:tr>
      <w:tr w:rsidR="00491958" w14:paraId="0633C967" w14:textId="77777777" w:rsidTr="0093780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523B267C" w14:textId="7C11F672" w:rsidR="00491958" w:rsidRDefault="00491958" w:rsidP="0093780D">
            <w:pPr>
              <w:spacing w:before="20" w:after="20"/>
            </w:pPr>
            <w:r w:rsidRPr="001A7BB9">
              <w:t>San Benito</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2403684" w14:textId="4F9DA7E3"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$129,218,877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34784D21" w14:textId="0AD4EF94"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$2,335 </w:t>
            </w:r>
          </w:p>
        </w:tc>
      </w:tr>
      <w:tr w:rsidR="00491958" w14:paraId="0003D7CB"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72E842D7" w14:textId="582877A9" w:rsidR="00491958" w:rsidRDefault="00491958" w:rsidP="0093780D">
            <w:pPr>
              <w:spacing w:before="20" w:after="20"/>
            </w:pPr>
            <w:r w:rsidRPr="001A7BB9">
              <w:t>San Bernardino</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535928CB" w14:textId="6E3E8794"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$4,440,554,243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1E7EC2CC" w14:textId="25F7AA6D"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$2,178 </w:t>
            </w:r>
          </w:p>
        </w:tc>
      </w:tr>
      <w:tr w:rsidR="00491958" w14:paraId="351DD048" w14:textId="77777777" w:rsidTr="0093780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3934E1CC" w14:textId="23837F2A" w:rsidR="00491958" w:rsidRDefault="00491958" w:rsidP="0093780D">
            <w:pPr>
              <w:spacing w:before="20" w:after="20"/>
            </w:pPr>
            <w:r w:rsidRPr="001A7BB9">
              <w:t>San Diego</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3CC70F2C" w14:textId="6FE429FB"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$7,952,710,067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3B9DF070" w14:textId="2951F124"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$2,562 </w:t>
            </w:r>
          </w:p>
        </w:tc>
      </w:tr>
      <w:tr w:rsidR="00491958" w14:paraId="279DFB9C"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2D9C84B1" w14:textId="06B22FE6" w:rsidR="00491958" w:rsidRDefault="00491958" w:rsidP="0093780D">
            <w:pPr>
              <w:spacing w:before="20" w:after="20"/>
            </w:pPr>
            <w:r w:rsidRPr="001A7BB9">
              <w:t>San Francisco</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689B5530" w14:textId="1F2B6DB5"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$2,591,968,013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2A1FF8F1" w14:textId="479CA7E0"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$3,211 </w:t>
            </w:r>
          </w:p>
        </w:tc>
      </w:tr>
      <w:tr w:rsidR="00491958" w14:paraId="57B57ED8" w14:textId="77777777" w:rsidTr="0093780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3AB2A1CC" w14:textId="7CE44286" w:rsidR="00491958" w:rsidRDefault="00491958" w:rsidP="0093780D">
            <w:pPr>
              <w:spacing w:before="20" w:after="20"/>
            </w:pPr>
            <w:r w:rsidRPr="001A7BB9">
              <w:t>San Joaquin</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71F5DF48" w14:textId="601C8567"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$1,597,699,813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0083B4A3" w14:textId="5FE1263F"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$2,326 </w:t>
            </w:r>
          </w:p>
        </w:tc>
      </w:tr>
      <w:tr w:rsidR="00491958" w14:paraId="32C02DAA"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38B3DF67" w14:textId="5BD902D1" w:rsidR="00491958" w:rsidRDefault="00491958" w:rsidP="0093780D">
            <w:pPr>
              <w:spacing w:before="20" w:after="20"/>
            </w:pPr>
            <w:r w:rsidRPr="001A7BB9">
              <w:t>San Luis Obispo</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678E4FB4" w14:textId="4136B9A7"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$844,267,395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59948BB3" w14:textId="5B8531FA"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$3,130 </w:t>
            </w:r>
          </w:p>
        </w:tc>
      </w:tr>
      <w:tr w:rsidR="00491958" w14:paraId="5C5727D2" w14:textId="77777777" w:rsidTr="0093780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283C132" w14:textId="2F4DFABF" w:rsidR="00491958" w:rsidRDefault="00491958" w:rsidP="0093780D">
            <w:pPr>
              <w:spacing w:before="20" w:after="20"/>
            </w:pPr>
            <w:r w:rsidRPr="001A7BB9">
              <w:t>San Mateo</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6397438C" w14:textId="6B7D1175"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$2,370,518,391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3D074E64" w14:textId="1FDB1DA9"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$3,294 </w:t>
            </w:r>
          </w:p>
        </w:tc>
      </w:tr>
      <w:tr w:rsidR="00491958" w14:paraId="01A14389"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2F286789" w14:textId="5D993DAA" w:rsidR="00491958" w:rsidRDefault="00491958" w:rsidP="0093780D">
            <w:pPr>
              <w:spacing w:before="20" w:after="20"/>
            </w:pPr>
            <w:r w:rsidRPr="001A7BB9">
              <w:t>Santa Barbara</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3C18AE57" w14:textId="3813B4E2"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$1,177,649,254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19E50298" w14:textId="340DAE11"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$2,776 </w:t>
            </w:r>
          </w:p>
        </w:tc>
      </w:tr>
      <w:tr w:rsidR="00491958" w14:paraId="41078BBB" w14:textId="77777777" w:rsidTr="0093780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0BC40862" w14:textId="5ADF7926" w:rsidR="00491958" w:rsidRDefault="00491958" w:rsidP="0093780D">
            <w:pPr>
              <w:spacing w:before="20" w:after="20"/>
            </w:pPr>
            <w:r w:rsidRPr="001A7BB9">
              <w:t>Santa Clara</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7A82483A" w14:textId="670F13D9"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$4,924,933,575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7319D4D9" w14:textId="0BDB9B92"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$2,755 </w:t>
            </w:r>
          </w:p>
        </w:tc>
      </w:tr>
      <w:tr w:rsidR="00491958" w14:paraId="12F70C1E"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38AECC1F" w14:textId="4A379134" w:rsidR="00491958" w:rsidRDefault="00491958" w:rsidP="0093780D">
            <w:pPr>
              <w:spacing w:before="20" w:after="20"/>
            </w:pPr>
            <w:r w:rsidRPr="001A7BB9">
              <w:t>Santa Cruz</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24D9987B" w14:textId="48794C31"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$705,271,576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4ABB6AA5" w14:textId="02EBD7E8"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$2,680 </w:t>
            </w:r>
          </w:p>
        </w:tc>
      </w:tr>
      <w:tr w:rsidR="00491958" w14:paraId="032E81AC" w14:textId="77777777" w:rsidTr="0093780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745A5B38" w14:textId="50CA4F08" w:rsidR="00491958" w:rsidRDefault="00491958" w:rsidP="0093780D">
            <w:pPr>
              <w:spacing w:before="20" w:after="20"/>
            </w:pPr>
            <w:r w:rsidRPr="001A7BB9">
              <w:t>Shasta</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96A738C" w14:textId="706CBDE7"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$596,252,729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13DF939C" w14:textId="2CC684AC"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$3,360 </w:t>
            </w:r>
          </w:p>
        </w:tc>
      </w:tr>
      <w:tr w:rsidR="009A101B" w14:paraId="138E7E7D"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54A139B3" w14:textId="7C46C942" w:rsidR="00491958" w:rsidRDefault="00491958" w:rsidP="0093780D">
            <w:pPr>
              <w:spacing w:before="20" w:after="20"/>
            </w:pPr>
            <w:r w:rsidRPr="001A7BB9">
              <w:t>Sierra</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82F7379" w14:textId="16BE3969"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$12,373,706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5F6DD4ED" w14:textId="56DC8677"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$3,830 </w:t>
            </w:r>
          </w:p>
        </w:tc>
      </w:tr>
      <w:tr w:rsidR="00491958" w14:paraId="79BEC2AA" w14:textId="77777777" w:rsidTr="0093780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4FF94A5" w14:textId="42A3E3A2" w:rsidR="00491958" w:rsidRDefault="00491958" w:rsidP="0093780D">
            <w:pPr>
              <w:spacing w:before="20" w:after="20"/>
            </w:pPr>
            <w:r w:rsidRPr="001A7BB9">
              <w:t>Siskiyou</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BF65277" w14:textId="1AAD399A"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$165,399,224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53C64E82" w14:textId="651F54C0"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$3,680 </w:t>
            </w:r>
          </w:p>
        </w:tc>
      </w:tr>
      <w:tr w:rsidR="00491958" w14:paraId="4AF9B266"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2FCA0115" w14:textId="2460A508" w:rsidR="00491958" w:rsidRDefault="00491958" w:rsidP="0093780D">
            <w:pPr>
              <w:spacing w:before="20" w:after="20"/>
            </w:pPr>
            <w:r w:rsidRPr="001A7BB9">
              <w:t>Solano</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73985366" w14:textId="0287953A"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$1,172,308,909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35C468EA" w14:textId="7E033B90"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$2,837 </w:t>
            </w:r>
          </w:p>
        </w:tc>
      </w:tr>
      <w:tr w:rsidR="00491958" w14:paraId="4C3E90E8" w14:textId="77777777" w:rsidTr="0093780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5A0365ED" w14:textId="2AA7DBF4" w:rsidR="00491958" w:rsidRDefault="00491958" w:rsidP="0093780D">
            <w:pPr>
              <w:spacing w:before="20" w:after="20"/>
            </w:pPr>
            <w:r w:rsidRPr="001A7BB9">
              <w:t>Sonoma</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F6A1096" w14:textId="2674821A"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$1,469,027,254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330B1C04" w14:textId="5D110024"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$3,034 </w:t>
            </w:r>
          </w:p>
        </w:tc>
      </w:tr>
      <w:tr w:rsidR="00491958" w14:paraId="2C73A36D"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7B806093" w14:textId="04ADF463" w:rsidR="00491958" w:rsidRDefault="00491958" w:rsidP="0093780D">
            <w:pPr>
              <w:spacing w:before="20" w:after="20"/>
            </w:pPr>
            <w:r w:rsidRPr="001A7BB9">
              <w:t>Stanislaus</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0705EC54" w14:textId="5EAFE37B"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$1,233,664,501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09480EFD" w14:textId="703F5698"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$2,394 </w:t>
            </w:r>
          </w:p>
        </w:tc>
      </w:tr>
      <w:tr w:rsidR="00491958" w14:paraId="18383865" w14:textId="77777777" w:rsidTr="0093780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65DD8825" w14:textId="20853E27" w:rsidR="00491958" w:rsidRDefault="00491958" w:rsidP="0093780D">
            <w:pPr>
              <w:spacing w:before="20" w:after="20"/>
            </w:pPr>
            <w:r w:rsidRPr="001A7BB9">
              <w:t>Sutter</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7EBCF24B" w14:textId="1CB6D3D5"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$244,063,046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31A814F1" w14:textId="48E9E62D"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$2,575 </w:t>
            </w:r>
          </w:p>
        </w:tc>
      </w:tr>
      <w:tr w:rsidR="00491958" w14:paraId="219EF6FF"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2FBB8A8" w14:textId="32AE1CE2" w:rsidR="00491958" w:rsidRDefault="00491958" w:rsidP="0093780D">
            <w:pPr>
              <w:spacing w:before="20" w:after="20"/>
            </w:pPr>
            <w:r w:rsidRPr="001A7BB9">
              <w:t>Tehama</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5DE7C009" w14:textId="2CE9464E"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$197,416,478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1EBF07E7" w14:textId="503027FC"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$3,102 </w:t>
            </w:r>
          </w:p>
        </w:tc>
      </w:tr>
      <w:tr w:rsidR="00491958" w14:paraId="784B6C8A" w14:textId="77777777" w:rsidTr="0093780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5860D579" w14:textId="5C96E537" w:rsidR="00491958" w:rsidRDefault="00491958" w:rsidP="0093780D">
            <w:pPr>
              <w:spacing w:before="20" w:after="20"/>
            </w:pPr>
            <w:r w:rsidRPr="001A7BB9">
              <w:t>Trinity</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5EA71B4" w14:textId="0C3AF375"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$52,031,923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5E18CBB3" w14:textId="627ACE01"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$3,748 </w:t>
            </w:r>
          </w:p>
        </w:tc>
      </w:tr>
      <w:tr w:rsidR="00491958" w14:paraId="3447737A"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4B9D1C31" w14:textId="23E44407" w:rsidR="00491958" w:rsidRDefault="00491958" w:rsidP="0093780D">
            <w:pPr>
              <w:spacing w:before="20" w:after="20"/>
            </w:pPr>
            <w:r w:rsidRPr="001A7BB9">
              <w:t>Tulare</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654F5219" w14:textId="4C9A902B"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$951,831,827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2F0D822B" w14:textId="1C3DE5F1"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$2,146 </w:t>
            </w:r>
          </w:p>
        </w:tc>
      </w:tr>
      <w:tr w:rsidR="00491958" w14:paraId="2B36CB9C" w14:textId="77777777" w:rsidTr="0093780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61D9CD1" w14:textId="07127A3E" w:rsidR="00491958" w:rsidRDefault="00491958" w:rsidP="0093780D">
            <w:pPr>
              <w:spacing w:before="20" w:after="20"/>
            </w:pPr>
            <w:r w:rsidRPr="001A7BB9">
              <w:t>Tuolumne</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0915B9B9" w14:textId="60999218"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$216,388,532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21829FBD" w14:textId="0DAAFF68"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$3,937 </w:t>
            </w:r>
          </w:p>
        </w:tc>
      </w:tr>
      <w:tr w:rsidR="00491958" w14:paraId="76FBE7DA"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0CF37C6F" w14:textId="6AE84AC0" w:rsidR="00491958" w:rsidRDefault="00491958" w:rsidP="0093780D">
            <w:pPr>
              <w:spacing w:before="20" w:after="20"/>
            </w:pPr>
            <w:r w:rsidRPr="001A7BB9">
              <w:t>Ventura</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73F95C67" w14:textId="7E867FB4"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$2,288,663,662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405AD075" w14:textId="7414FCBD"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$2,773 </w:t>
            </w:r>
          </w:p>
        </w:tc>
      </w:tr>
      <w:tr w:rsidR="00491958" w14:paraId="50DA2736" w14:textId="77777777" w:rsidTr="0093780D">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12B6F02D" w14:textId="6C88AAB9" w:rsidR="00491958" w:rsidRDefault="00491958" w:rsidP="0093780D">
            <w:pPr>
              <w:spacing w:before="20" w:after="20"/>
            </w:pPr>
            <w:r w:rsidRPr="001A7BB9">
              <w:t>Yolo</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0F289D42" w14:textId="08DE0631"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4F126F">
              <w:t xml:space="preserve">$466,847,131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24259537" w14:textId="6430D532" w:rsidR="00491958" w:rsidRDefault="00491958" w:rsidP="0093780D">
            <w:pPr>
              <w:spacing w:before="20" w:after="20"/>
              <w:cnfStyle w:val="000000100000" w:firstRow="0" w:lastRow="0" w:firstColumn="0" w:lastColumn="0" w:oddVBand="0" w:evenVBand="0" w:oddHBand="1" w:evenHBand="0" w:firstRowFirstColumn="0" w:firstRowLastColumn="0" w:lastRowFirstColumn="0" w:lastRowLastColumn="0"/>
            </w:pPr>
            <w:r w:rsidRPr="00B520F2">
              <w:t xml:space="preserve">$2,323 </w:t>
            </w:r>
          </w:p>
        </w:tc>
      </w:tr>
      <w:tr w:rsidR="00491958" w14:paraId="6F505079" w14:textId="77777777" w:rsidTr="0093780D">
        <w:trPr>
          <w:trHeight w:val="150"/>
          <w:jc w:val="center"/>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32328599" w14:textId="520A6887" w:rsidR="00491958" w:rsidRDefault="00491958" w:rsidP="0093780D">
            <w:pPr>
              <w:spacing w:before="20" w:after="20"/>
            </w:pPr>
            <w:r w:rsidRPr="001A7BB9">
              <w:t>Yuba</w:t>
            </w:r>
          </w:p>
        </w:tc>
        <w:tc>
          <w:tcPr>
            <w:tcW w:w="368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vAlign w:val="center"/>
          </w:tcPr>
          <w:p w14:paraId="573C0B88" w14:textId="48A04B8F"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4F126F">
              <w:t xml:space="preserve">$166,790,518 </w:t>
            </w:r>
          </w:p>
        </w:tc>
        <w:tc>
          <w:tcPr>
            <w:tcW w:w="3621" w:type="dxa"/>
            <w:tcBorders>
              <w:top w:val="single" w:sz="12" w:space="0" w:color="FFC000" w:themeColor="accent4"/>
              <w:bottom w:val="single" w:sz="12" w:space="0" w:color="FFC000" w:themeColor="accent4"/>
              <w:right w:val="single" w:sz="12" w:space="0" w:color="FFC000" w:themeColor="accent4"/>
            </w:tcBorders>
            <w:vAlign w:val="center"/>
          </w:tcPr>
          <w:p w14:paraId="35934F27" w14:textId="406FC6CA" w:rsidR="00491958" w:rsidRDefault="00491958" w:rsidP="0093780D">
            <w:pPr>
              <w:spacing w:before="20" w:after="20"/>
              <w:cnfStyle w:val="000000000000" w:firstRow="0" w:lastRow="0" w:firstColumn="0" w:lastColumn="0" w:oddVBand="0" w:evenVBand="0" w:oddHBand="0" w:evenHBand="0" w:firstRowFirstColumn="0" w:firstRowLastColumn="0" w:lastRowFirstColumn="0" w:lastRowLastColumn="0"/>
            </w:pPr>
            <w:r w:rsidRPr="00B520F2">
              <w:t xml:space="preserve">$2,306 </w:t>
            </w:r>
          </w:p>
        </w:tc>
      </w:tr>
    </w:tbl>
    <w:p w14:paraId="3F19FFB9" w14:textId="40CCCAB2" w:rsidR="00D07BE7" w:rsidRPr="00D07BE7" w:rsidRDefault="00D07BE7" w:rsidP="009A101B">
      <w:pPr>
        <w:spacing w:before="240"/>
        <w:rPr>
          <w:rFonts w:ascii="Calibri Light" w:hAnsi="Calibri Light" w:cs="Calibri Light"/>
          <w:sz w:val="23"/>
          <w:szCs w:val="23"/>
        </w:rPr>
      </w:pPr>
    </w:p>
    <w:sectPr w:rsidR="00D07BE7" w:rsidRPr="00D07BE7" w:rsidSect="00145828">
      <w:endnotePr>
        <w:numFmt w:val="decimal"/>
        <w:numRestart w:val="eachSect"/>
      </w:endnotePr>
      <w:pgSz w:w="12240" w:h="15840"/>
      <w:pgMar w:top="187" w:right="1224" w:bottom="1224" w:left="1224" w:header="720" w:footer="720" w:gutter="0"/>
      <w:pgBorders w:offsetFrom="page">
        <w:top w:val="double" w:sz="4" w:space="20" w:color="FFC000" w:themeColor="accent4"/>
        <w:left w:val="double" w:sz="4" w:space="20" w:color="FFC000" w:themeColor="accent4"/>
        <w:bottom w:val="double" w:sz="4" w:space="20" w:color="FFC000" w:themeColor="accent4"/>
        <w:right w:val="double" w:sz="4" w:space="20" w:color="FFC000" w:themeColor="accent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446EB" w14:textId="77777777" w:rsidR="003D3E4C" w:rsidRDefault="003D3E4C" w:rsidP="00F90BB3">
      <w:r>
        <w:separator/>
      </w:r>
    </w:p>
  </w:endnote>
  <w:endnote w:type="continuationSeparator" w:id="0">
    <w:p w14:paraId="2A189727" w14:textId="77777777" w:rsidR="003D3E4C" w:rsidRDefault="003D3E4C" w:rsidP="00F90BB3">
      <w:r>
        <w:continuationSeparator/>
      </w:r>
    </w:p>
  </w:endnote>
  <w:endnote w:id="1">
    <w:p w14:paraId="232967C4" w14:textId="722476D1" w:rsidR="00FA356D" w:rsidRDefault="00FA356D">
      <w:pPr>
        <w:pStyle w:val="EndnoteText"/>
      </w:pPr>
      <w:r>
        <w:rPr>
          <w:rStyle w:val="EndnoteReference"/>
        </w:rPr>
        <w:endnoteRef/>
      </w:r>
      <w:r>
        <w:t xml:space="preserve"> </w:t>
      </w:r>
      <w:r w:rsidRPr="000B470A">
        <w:rPr>
          <w:rFonts w:cstheme="majorHAnsi"/>
          <w:color w:val="000000" w:themeColor="text1"/>
          <w:sz w:val="16"/>
          <w:szCs w:val="16"/>
        </w:rPr>
        <w:t xml:space="preserve">Peck, C., Logan, J., </w:t>
      </w:r>
      <w:proofErr w:type="spellStart"/>
      <w:r w:rsidRPr="000B470A">
        <w:rPr>
          <w:rFonts w:cstheme="majorHAnsi"/>
          <w:color w:val="000000" w:themeColor="text1"/>
          <w:sz w:val="16"/>
          <w:szCs w:val="16"/>
        </w:rPr>
        <w:t>Maizlish</w:t>
      </w:r>
      <w:proofErr w:type="spellEnd"/>
      <w:r w:rsidRPr="000B470A">
        <w:rPr>
          <w:rFonts w:cstheme="majorHAnsi"/>
          <w:color w:val="000000" w:themeColor="text1"/>
          <w:sz w:val="16"/>
          <w:szCs w:val="16"/>
        </w:rPr>
        <w:t>, N., and Van Court, J. (2013). The Burden of Chronic Disease and Injury, California, 2013. California Department of Public Health.</w:t>
      </w:r>
    </w:p>
  </w:endnote>
  <w:endnote w:id="2">
    <w:p w14:paraId="3E772E36" w14:textId="5E4E4BB9" w:rsidR="00FA356D" w:rsidRDefault="00FA356D">
      <w:pPr>
        <w:pStyle w:val="EndnoteText"/>
      </w:pPr>
      <w:r>
        <w:rPr>
          <w:rStyle w:val="EndnoteReference"/>
        </w:rPr>
        <w:endnoteRef/>
      </w:r>
      <w:r>
        <w:t xml:space="preserve"> </w:t>
      </w:r>
      <w:proofErr w:type="spellStart"/>
      <w:r w:rsidRPr="000B470A">
        <w:rPr>
          <w:rFonts w:cstheme="majorHAnsi"/>
          <w:color w:val="000000" w:themeColor="text1"/>
          <w:sz w:val="16"/>
          <w:szCs w:val="16"/>
        </w:rPr>
        <w:t>Olshansky</w:t>
      </w:r>
      <w:proofErr w:type="spellEnd"/>
      <w:r w:rsidRPr="000B470A">
        <w:rPr>
          <w:rFonts w:cstheme="majorHAnsi"/>
          <w:color w:val="000000" w:themeColor="text1"/>
          <w:sz w:val="16"/>
          <w:szCs w:val="16"/>
        </w:rPr>
        <w:t xml:space="preserve">, S.J., </w:t>
      </w:r>
      <w:proofErr w:type="spellStart"/>
      <w:r w:rsidRPr="000B470A">
        <w:rPr>
          <w:rFonts w:cstheme="majorHAnsi"/>
          <w:color w:val="000000" w:themeColor="text1"/>
          <w:sz w:val="16"/>
          <w:szCs w:val="16"/>
        </w:rPr>
        <w:t>Passaro</w:t>
      </w:r>
      <w:proofErr w:type="spellEnd"/>
      <w:r w:rsidRPr="000B470A">
        <w:rPr>
          <w:rFonts w:cstheme="majorHAnsi"/>
          <w:color w:val="000000" w:themeColor="text1"/>
          <w:sz w:val="16"/>
          <w:szCs w:val="16"/>
        </w:rPr>
        <w:t xml:space="preserve">, D.J., </w:t>
      </w:r>
      <w:proofErr w:type="spellStart"/>
      <w:r w:rsidRPr="000B470A">
        <w:rPr>
          <w:rFonts w:cstheme="majorHAnsi"/>
          <w:color w:val="000000" w:themeColor="text1"/>
          <w:sz w:val="16"/>
          <w:szCs w:val="16"/>
        </w:rPr>
        <w:t>Hershow</w:t>
      </w:r>
      <w:proofErr w:type="spellEnd"/>
      <w:r w:rsidRPr="000B470A">
        <w:rPr>
          <w:rFonts w:cstheme="majorHAnsi"/>
          <w:color w:val="000000" w:themeColor="text1"/>
          <w:sz w:val="16"/>
          <w:szCs w:val="16"/>
        </w:rPr>
        <w:t xml:space="preserve">, R.C., </w:t>
      </w:r>
      <w:proofErr w:type="spellStart"/>
      <w:r w:rsidRPr="000B470A">
        <w:rPr>
          <w:rFonts w:cstheme="majorHAnsi"/>
          <w:color w:val="000000" w:themeColor="text1"/>
          <w:sz w:val="16"/>
          <w:szCs w:val="16"/>
        </w:rPr>
        <w:t>Layden</w:t>
      </w:r>
      <w:proofErr w:type="spellEnd"/>
      <w:r w:rsidRPr="000B470A">
        <w:rPr>
          <w:rFonts w:cstheme="majorHAnsi"/>
          <w:color w:val="000000" w:themeColor="text1"/>
          <w:sz w:val="16"/>
          <w:szCs w:val="16"/>
        </w:rPr>
        <w:t xml:space="preserve">, J., Carnes, </w:t>
      </w:r>
      <w:proofErr w:type="spellStart"/>
      <w:proofErr w:type="gramStart"/>
      <w:r w:rsidRPr="000B470A">
        <w:rPr>
          <w:rFonts w:cstheme="majorHAnsi"/>
          <w:color w:val="000000" w:themeColor="text1"/>
          <w:sz w:val="16"/>
          <w:szCs w:val="16"/>
        </w:rPr>
        <w:t>B.A.,Brody</w:t>
      </w:r>
      <w:proofErr w:type="spellEnd"/>
      <w:proofErr w:type="gramEnd"/>
      <w:r w:rsidRPr="000B470A">
        <w:rPr>
          <w:rFonts w:cstheme="majorHAnsi"/>
          <w:color w:val="000000" w:themeColor="text1"/>
          <w:sz w:val="16"/>
          <w:szCs w:val="16"/>
        </w:rPr>
        <w:t>, J., Hayflick, L., Ludwig, D.S. (2005). A Potential Decline in Life Expectancy in the United States in the 21st Century. New England Journal of Medicine, 352,1138-1145.</w:t>
      </w:r>
    </w:p>
  </w:endnote>
  <w:endnote w:id="3">
    <w:p w14:paraId="510471A7" w14:textId="13A2EC83" w:rsidR="00FA356D" w:rsidRDefault="00FA356D">
      <w:pPr>
        <w:pStyle w:val="EndnoteText"/>
      </w:pPr>
      <w:r>
        <w:rPr>
          <w:rStyle w:val="EndnoteReference"/>
        </w:rPr>
        <w:endnoteRef/>
      </w:r>
      <w:r>
        <w:t xml:space="preserve"> </w:t>
      </w:r>
      <w:proofErr w:type="spellStart"/>
      <w:r w:rsidR="008F6B13" w:rsidRPr="000B470A">
        <w:rPr>
          <w:rFonts w:cstheme="majorHAnsi"/>
          <w:color w:val="000000" w:themeColor="text1"/>
          <w:sz w:val="16"/>
          <w:szCs w:val="16"/>
        </w:rPr>
        <w:t>Babey</w:t>
      </w:r>
      <w:proofErr w:type="spellEnd"/>
      <w:r w:rsidR="008F6B13" w:rsidRPr="000B470A">
        <w:rPr>
          <w:rFonts w:cstheme="majorHAnsi"/>
          <w:color w:val="000000" w:themeColor="text1"/>
          <w:sz w:val="16"/>
          <w:szCs w:val="16"/>
        </w:rPr>
        <w:t xml:space="preserve"> SH, </w:t>
      </w:r>
      <w:proofErr w:type="spellStart"/>
      <w:r w:rsidR="008F6B13" w:rsidRPr="000B470A">
        <w:rPr>
          <w:rFonts w:cstheme="majorHAnsi"/>
          <w:color w:val="000000" w:themeColor="text1"/>
          <w:sz w:val="16"/>
          <w:szCs w:val="16"/>
        </w:rPr>
        <w:t>Wolstein</w:t>
      </w:r>
      <w:proofErr w:type="spellEnd"/>
      <w:r w:rsidR="008F6B13" w:rsidRPr="000B470A">
        <w:rPr>
          <w:rFonts w:cstheme="majorHAnsi"/>
          <w:color w:val="000000" w:themeColor="text1"/>
          <w:sz w:val="16"/>
          <w:szCs w:val="16"/>
        </w:rPr>
        <w:t xml:space="preserve"> J, Diamant AL, Goldstein H. Prediabetes in California: Nearly Half of California Adults on Path to Diabetes. Los Angeles, CA: UCLA Center for Health Policy Research and California Center for Public Health Advocacy, 2016.</w:t>
      </w:r>
    </w:p>
  </w:endnote>
  <w:endnote w:id="4">
    <w:p w14:paraId="14B23C7B" w14:textId="6DCB8CBA" w:rsidR="008F6B13" w:rsidRDefault="008F6B13">
      <w:pPr>
        <w:pStyle w:val="EndnoteText"/>
      </w:pPr>
      <w:r>
        <w:rPr>
          <w:rStyle w:val="EndnoteReference"/>
        </w:rPr>
        <w:endnoteRef/>
      </w:r>
      <w:r>
        <w:t xml:space="preserve"> </w:t>
      </w:r>
      <w:r w:rsidRPr="000B470A">
        <w:rPr>
          <w:rFonts w:cs="Times New Roman"/>
          <w:color w:val="000000" w:themeColor="text1"/>
          <w:sz w:val="16"/>
          <w:szCs w:val="16"/>
        </w:rPr>
        <w:t>Centers for Disease Control and Prevention. Nutrition, Physical</w:t>
      </w:r>
      <w:r>
        <w:rPr>
          <w:rFonts w:cs="Times New Roman"/>
          <w:color w:val="000000" w:themeColor="text1"/>
          <w:sz w:val="16"/>
          <w:szCs w:val="16"/>
        </w:rPr>
        <w:t xml:space="preserve"> </w:t>
      </w:r>
      <w:r w:rsidRPr="000B470A">
        <w:rPr>
          <w:rFonts w:cs="Times New Roman"/>
          <w:color w:val="000000" w:themeColor="text1"/>
          <w:sz w:val="16"/>
          <w:szCs w:val="16"/>
        </w:rPr>
        <w:t xml:space="preserve">Activity, and Obesity: Data, Trends and Maps. Accessed at: </w:t>
      </w:r>
      <w:hyperlink r:id="rId1" w:history="1">
        <w:r w:rsidRPr="008F6B13">
          <w:rPr>
            <w:rStyle w:val="Hyperlink"/>
            <w:rFonts w:cs="Times New Roman"/>
            <w:color w:val="auto"/>
            <w:sz w:val="16"/>
            <w:szCs w:val="16"/>
          </w:rPr>
          <w:t>https://www.cdc.gov/nccdphp/dnpao/data-trends-maps/index.html</w:t>
        </w:r>
      </w:hyperlink>
      <w:r w:rsidRPr="008F6B13">
        <w:rPr>
          <w:rFonts w:cs="Times New Roman"/>
          <w:sz w:val="16"/>
          <w:szCs w:val="16"/>
        </w:rPr>
        <w:t>.</w:t>
      </w:r>
    </w:p>
  </w:endnote>
  <w:endnote w:id="5">
    <w:p w14:paraId="18F32777" w14:textId="78C1C50C" w:rsidR="008F6B13" w:rsidRDefault="008F6B13">
      <w:pPr>
        <w:pStyle w:val="EndnoteText"/>
      </w:pPr>
      <w:r>
        <w:rPr>
          <w:rStyle w:val="EndnoteReference"/>
        </w:rPr>
        <w:endnoteRef/>
      </w:r>
      <w:r w:rsidRPr="00B87D37">
        <w:rPr>
          <w:lang w:val="es-ES"/>
        </w:rPr>
        <w:t xml:space="preserve"> </w:t>
      </w:r>
      <w:r w:rsidRPr="00B87D37">
        <w:rPr>
          <w:rFonts w:ascii="Times New Roman" w:hAnsi="Times New Roman" w:cs="Times New Roman"/>
          <w:sz w:val="16"/>
          <w:szCs w:val="16"/>
          <w:lang w:val="es-ES"/>
        </w:rPr>
        <w:t xml:space="preserve">Brown, P., Gonzalez, M., </w:t>
      </w:r>
      <w:proofErr w:type="spellStart"/>
      <w:r w:rsidRPr="00B87D37">
        <w:rPr>
          <w:rFonts w:ascii="Times New Roman" w:hAnsi="Times New Roman" w:cs="Times New Roman"/>
          <w:sz w:val="16"/>
          <w:szCs w:val="16"/>
          <w:lang w:val="es-ES"/>
        </w:rPr>
        <w:t>Dhaul</w:t>
      </w:r>
      <w:proofErr w:type="spellEnd"/>
      <w:r w:rsidRPr="00B87D37">
        <w:rPr>
          <w:rFonts w:ascii="Times New Roman" w:hAnsi="Times New Roman" w:cs="Times New Roman"/>
          <w:sz w:val="16"/>
          <w:szCs w:val="16"/>
          <w:lang w:val="es-ES"/>
        </w:rPr>
        <w:t xml:space="preserve">, R.S. (2015). </w:t>
      </w:r>
      <w:r>
        <w:rPr>
          <w:rFonts w:ascii="Times New Roman" w:hAnsi="Times New Roman" w:cs="Times New Roman"/>
          <w:sz w:val="16"/>
          <w:szCs w:val="16"/>
        </w:rPr>
        <w:t>Cost of Chronic Disease in California: Estimates at County Level. Journal of Public Health Management &amp; Practice, 21,10-19.</w:t>
      </w:r>
    </w:p>
  </w:endnote>
  <w:endnote w:id="6">
    <w:p w14:paraId="72B72080" w14:textId="58289B62" w:rsidR="008F6B13" w:rsidRDefault="008F6B13">
      <w:pPr>
        <w:pStyle w:val="EndnoteText"/>
      </w:pPr>
      <w:r>
        <w:rPr>
          <w:rStyle w:val="EndnoteReference"/>
        </w:rPr>
        <w:endnoteRef/>
      </w:r>
      <w:r>
        <w:t xml:space="preserve"> </w:t>
      </w:r>
      <w:r w:rsidRPr="000B470A">
        <w:rPr>
          <w:rFonts w:cstheme="majorHAnsi"/>
          <w:color w:val="000000" w:themeColor="text1"/>
          <w:sz w:val="16"/>
          <w:szCs w:val="16"/>
        </w:rPr>
        <w:t xml:space="preserve">Luo, F., </w:t>
      </w:r>
      <w:proofErr w:type="gramStart"/>
      <w:r w:rsidRPr="000B470A">
        <w:rPr>
          <w:rFonts w:cstheme="majorHAnsi"/>
          <w:color w:val="000000" w:themeColor="text1"/>
          <w:sz w:val="16"/>
          <w:szCs w:val="16"/>
        </w:rPr>
        <w:t>Florence ,</w:t>
      </w:r>
      <w:proofErr w:type="gramEnd"/>
      <w:r w:rsidRPr="000B470A">
        <w:rPr>
          <w:rFonts w:cstheme="majorHAnsi"/>
          <w:color w:val="000000" w:themeColor="text1"/>
          <w:sz w:val="16"/>
          <w:szCs w:val="16"/>
        </w:rPr>
        <w:t>C. (2014). State-Level Lifetime Medical and Work-Loss Costs of Fatal Injuries — United States. MMWR Morbidity Mortality Weekly</w:t>
      </w:r>
      <w:r>
        <w:rPr>
          <w:rFonts w:cstheme="majorHAnsi"/>
          <w:color w:val="000000" w:themeColor="text1"/>
          <w:sz w:val="16"/>
          <w:szCs w:val="16"/>
        </w:rPr>
        <w:t xml:space="preserve"> </w:t>
      </w:r>
      <w:r w:rsidRPr="000B470A">
        <w:rPr>
          <w:rFonts w:cstheme="majorHAnsi"/>
          <w:color w:val="000000" w:themeColor="text1"/>
          <w:sz w:val="16"/>
          <w:szCs w:val="16"/>
        </w:rPr>
        <w:t xml:space="preserve">Rep </w:t>
      </w:r>
      <w:proofErr w:type="gramStart"/>
      <w:r w:rsidRPr="000B470A">
        <w:rPr>
          <w:rFonts w:cstheme="majorHAnsi"/>
          <w:color w:val="000000" w:themeColor="text1"/>
          <w:sz w:val="16"/>
          <w:szCs w:val="16"/>
        </w:rPr>
        <w:t>2017;66:1</w:t>
      </w:r>
      <w:proofErr w:type="gramEnd"/>
      <w:r w:rsidRPr="000B470A">
        <w:rPr>
          <w:rFonts w:cstheme="majorHAnsi"/>
          <w:color w:val="000000" w:themeColor="text1"/>
          <w:sz w:val="16"/>
          <w:szCs w:val="16"/>
        </w:rPr>
        <w:t>–11.</w:t>
      </w:r>
    </w:p>
  </w:endnote>
  <w:endnote w:id="7">
    <w:p w14:paraId="5E848050" w14:textId="172D17CA" w:rsidR="008F6B13" w:rsidRDefault="008F6B13">
      <w:pPr>
        <w:pStyle w:val="EndnoteText"/>
      </w:pPr>
      <w:r>
        <w:rPr>
          <w:rStyle w:val="EndnoteReference"/>
        </w:rPr>
        <w:endnoteRef/>
      </w:r>
      <w:r>
        <w:t xml:space="preserve"> </w:t>
      </w:r>
      <w:r w:rsidRPr="000B470A">
        <w:rPr>
          <w:rFonts w:cstheme="majorHAnsi"/>
          <w:color w:val="000000" w:themeColor="text1"/>
          <w:sz w:val="16"/>
          <w:szCs w:val="16"/>
        </w:rPr>
        <w:t>US Burden of Disease Collaborators (2018). The State of US Health, 1990-2016 Burden of Diseases, Injuries and Risk Factors Among US States.</w:t>
      </w:r>
      <w:r>
        <w:rPr>
          <w:rFonts w:cstheme="majorHAnsi"/>
          <w:color w:val="000000" w:themeColor="text1"/>
          <w:sz w:val="16"/>
          <w:szCs w:val="16"/>
        </w:rPr>
        <w:t xml:space="preserve"> </w:t>
      </w:r>
      <w:r w:rsidRPr="000B470A">
        <w:rPr>
          <w:rFonts w:cstheme="majorHAnsi"/>
          <w:color w:val="000000" w:themeColor="text1"/>
          <w:sz w:val="16"/>
          <w:szCs w:val="16"/>
        </w:rPr>
        <w:t xml:space="preserve">Accessed at: </w:t>
      </w:r>
      <w:hyperlink r:id="rId2" w:history="1">
        <w:r w:rsidRPr="000B470A">
          <w:rPr>
            <w:rStyle w:val="Hyperlink"/>
            <w:rFonts w:cstheme="majorHAnsi"/>
            <w:color w:val="000000" w:themeColor="text1"/>
            <w:sz w:val="16"/>
            <w:szCs w:val="16"/>
          </w:rPr>
          <w:t>https://jamanetwork.com/journals/jama/fullarticle/2678018</w:t>
        </w:r>
      </w:hyperlink>
      <w:r w:rsidRPr="000B470A">
        <w:rPr>
          <w:rFonts w:cstheme="majorHAnsi"/>
          <w:color w:val="000000" w:themeColor="text1"/>
          <w:sz w:val="16"/>
          <w:szCs w:val="16"/>
        </w:rPr>
        <w:t>.</w:t>
      </w:r>
    </w:p>
  </w:endnote>
  <w:endnote w:id="8">
    <w:p w14:paraId="15A21C6F" w14:textId="30610890" w:rsidR="008F6B13" w:rsidRDefault="008F6B13">
      <w:pPr>
        <w:pStyle w:val="EndnoteText"/>
      </w:pPr>
      <w:r>
        <w:rPr>
          <w:rStyle w:val="EndnoteReference"/>
        </w:rPr>
        <w:endnoteRef/>
      </w:r>
      <w:r>
        <w:t xml:space="preserve"> </w:t>
      </w:r>
      <w:r w:rsidRPr="000B470A">
        <w:rPr>
          <w:color w:val="000000" w:themeColor="text1"/>
          <w:sz w:val="16"/>
          <w:szCs w:val="16"/>
        </w:rPr>
        <w:t xml:space="preserve">United State Department of Agriculture. (2009). Access to Affordable and Nutritious Food: Measuring and Understanding Food Deserts and Their Consequences. Report to Congress.  Accessed at: </w:t>
      </w:r>
      <w:hyperlink r:id="rId3" w:history="1">
        <w:r w:rsidRPr="008F6B13">
          <w:rPr>
            <w:rStyle w:val="Hyperlink"/>
            <w:color w:val="auto"/>
            <w:sz w:val="16"/>
            <w:szCs w:val="16"/>
          </w:rPr>
          <w:t>https://www.ers.usda.gov/webdocs/publications/42711/12716_ap036_1_.pdf</w:t>
        </w:r>
      </w:hyperlink>
      <w:r w:rsidRPr="008F6B13">
        <w:rPr>
          <w:sz w:val="16"/>
          <w:szCs w:val="16"/>
        </w:rPr>
        <w:t>.</w:t>
      </w:r>
    </w:p>
  </w:endnote>
  <w:endnote w:id="9">
    <w:p w14:paraId="340B46D3" w14:textId="3C517A60" w:rsidR="008F6B13" w:rsidRDefault="008F6B13">
      <w:pPr>
        <w:pStyle w:val="EndnoteText"/>
      </w:pPr>
      <w:r>
        <w:rPr>
          <w:rStyle w:val="EndnoteReference"/>
        </w:rPr>
        <w:endnoteRef/>
      </w:r>
      <w:r>
        <w:t xml:space="preserve"> </w:t>
      </w:r>
      <w:r w:rsidRPr="000B470A">
        <w:rPr>
          <w:rFonts w:eastAsia="Times New Roman" w:cstheme="majorHAnsi"/>
          <w:color w:val="000000" w:themeColor="text1"/>
          <w:sz w:val="16"/>
          <w:szCs w:val="16"/>
        </w:rPr>
        <w:t xml:space="preserve">Doyle, S, Kelly-Schwartz, A., Schlossberg, M. et al. Active community environments and health: the relationship of walkable and safe communities to individua., health. J Am </w:t>
      </w:r>
      <w:proofErr w:type="spellStart"/>
      <w:r w:rsidRPr="000B470A">
        <w:rPr>
          <w:rFonts w:eastAsia="Times New Roman" w:cstheme="majorHAnsi"/>
          <w:color w:val="000000" w:themeColor="text1"/>
          <w:sz w:val="16"/>
          <w:szCs w:val="16"/>
        </w:rPr>
        <w:t>Plann</w:t>
      </w:r>
      <w:proofErr w:type="spellEnd"/>
      <w:r w:rsidRPr="000B470A">
        <w:rPr>
          <w:rFonts w:eastAsia="Times New Roman" w:cstheme="majorHAnsi"/>
          <w:color w:val="000000" w:themeColor="text1"/>
          <w:sz w:val="16"/>
          <w:szCs w:val="16"/>
        </w:rPr>
        <w:t xml:space="preserve"> Assoc. </w:t>
      </w:r>
      <w:proofErr w:type="gramStart"/>
      <w:r w:rsidRPr="000B470A">
        <w:rPr>
          <w:rFonts w:eastAsia="Times New Roman" w:cstheme="majorHAnsi"/>
          <w:color w:val="000000" w:themeColor="text1"/>
          <w:sz w:val="16"/>
          <w:szCs w:val="16"/>
        </w:rPr>
        <w:t>2006;72:19</w:t>
      </w:r>
      <w:proofErr w:type="gramEnd"/>
      <w:r w:rsidRPr="000B470A">
        <w:rPr>
          <w:rFonts w:eastAsia="Times New Roman" w:cstheme="majorHAnsi"/>
          <w:color w:val="000000" w:themeColor="text1"/>
          <w:sz w:val="16"/>
          <w:szCs w:val="16"/>
        </w:rPr>
        <w:t>-31.</w:t>
      </w:r>
    </w:p>
  </w:endnote>
  <w:endnote w:id="10">
    <w:p w14:paraId="0EDB5712" w14:textId="43F5CC01" w:rsidR="008F6B13" w:rsidRDefault="008F6B13">
      <w:pPr>
        <w:pStyle w:val="EndnoteText"/>
      </w:pPr>
      <w:r>
        <w:rPr>
          <w:rStyle w:val="EndnoteReference"/>
        </w:rPr>
        <w:endnoteRef/>
      </w:r>
      <w:r>
        <w:t xml:space="preserve"> </w:t>
      </w:r>
      <w:proofErr w:type="spellStart"/>
      <w:r w:rsidRPr="000B470A">
        <w:rPr>
          <w:rFonts w:eastAsia="Times New Roman" w:cstheme="majorHAnsi"/>
          <w:color w:val="000000" w:themeColor="text1"/>
          <w:sz w:val="16"/>
          <w:szCs w:val="16"/>
        </w:rPr>
        <w:t>Saelens</w:t>
      </w:r>
      <w:proofErr w:type="spellEnd"/>
      <w:r w:rsidRPr="000B470A">
        <w:rPr>
          <w:rFonts w:eastAsia="Times New Roman" w:cstheme="majorHAnsi"/>
          <w:color w:val="000000" w:themeColor="text1"/>
          <w:sz w:val="16"/>
          <w:szCs w:val="16"/>
        </w:rPr>
        <w:t xml:space="preserve"> BE, </w:t>
      </w:r>
      <w:proofErr w:type="spellStart"/>
      <w:r w:rsidRPr="000B470A">
        <w:rPr>
          <w:rFonts w:eastAsia="Times New Roman" w:cstheme="majorHAnsi"/>
          <w:color w:val="000000" w:themeColor="text1"/>
          <w:sz w:val="16"/>
          <w:szCs w:val="16"/>
        </w:rPr>
        <w:t>Sallis</w:t>
      </w:r>
      <w:proofErr w:type="spellEnd"/>
      <w:r w:rsidRPr="000B470A">
        <w:rPr>
          <w:rFonts w:eastAsia="Times New Roman" w:cstheme="majorHAnsi"/>
          <w:color w:val="000000" w:themeColor="text1"/>
          <w:sz w:val="16"/>
          <w:szCs w:val="16"/>
        </w:rPr>
        <w:t xml:space="preserve"> JF, Frank LD. Environmental correlates of walking and cycling: findings from the transportation, urban design, and planning</w:t>
      </w:r>
      <w:r>
        <w:rPr>
          <w:rFonts w:eastAsia="Times New Roman" w:cstheme="majorHAnsi"/>
          <w:color w:val="000000" w:themeColor="text1"/>
          <w:sz w:val="16"/>
          <w:szCs w:val="16"/>
        </w:rPr>
        <w:t xml:space="preserve"> </w:t>
      </w:r>
      <w:r w:rsidRPr="000B470A">
        <w:rPr>
          <w:rFonts w:eastAsia="Times New Roman" w:cstheme="majorHAnsi"/>
          <w:color w:val="000000" w:themeColor="text1"/>
          <w:sz w:val="16"/>
          <w:szCs w:val="16"/>
        </w:rPr>
        <w:t xml:space="preserve">literatures. Ann </w:t>
      </w:r>
      <w:proofErr w:type="spellStart"/>
      <w:r w:rsidRPr="000B470A">
        <w:rPr>
          <w:rFonts w:eastAsia="Times New Roman" w:cstheme="majorHAnsi"/>
          <w:color w:val="000000" w:themeColor="text1"/>
          <w:sz w:val="16"/>
          <w:szCs w:val="16"/>
        </w:rPr>
        <w:t>Behav</w:t>
      </w:r>
      <w:proofErr w:type="spellEnd"/>
      <w:r w:rsidRPr="000B470A">
        <w:rPr>
          <w:rFonts w:eastAsia="Times New Roman" w:cstheme="majorHAnsi"/>
          <w:color w:val="000000" w:themeColor="text1"/>
          <w:sz w:val="16"/>
          <w:szCs w:val="16"/>
        </w:rPr>
        <w:t xml:space="preserve"> Med. </w:t>
      </w:r>
      <w:proofErr w:type="gramStart"/>
      <w:r w:rsidRPr="000B470A">
        <w:rPr>
          <w:rFonts w:eastAsia="Times New Roman" w:cstheme="majorHAnsi"/>
          <w:color w:val="000000" w:themeColor="text1"/>
          <w:sz w:val="16"/>
          <w:szCs w:val="16"/>
        </w:rPr>
        <w:t>2003;25:80</w:t>
      </w:r>
      <w:proofErr w:type="gramEnd"/>
      <w:r>
        <w:rPr>
          <w:rFonts w:eastAsia="Times New Roman" w:cstheme="majorHAnsi"/>
          <w:color w:val="000000" w:themeColor="text1"/>
          <w:sz w:val="16"/>
          <w:szCs w:val="16"/>
        </w:rPr>
        <w:t>.</w:t>
      </w:r>
    </w:p>
  </w:endnote>
  <w:endnote w:id="11">
    <w:p w14:paraId="453B100C" w14:textId="5080F8A1" w:rsidR="008F6B13" w:rsidRDefault="008F6B13">
      <w:pPr>
        <w:pStyle w:val="EndnoteText"/>
      </w:pPr>
      <w:r>
        <w:rPr>
          <w:rStyle w:val="EndnoteReference"/>
        </w:rPr>
        <w:endnoteRef/>
      </w:r>
      <w:r w:rsidRPr="00162D04">
        <w:rPr>
          <w:lang w:val="es-MX"/>
        </w:rPr>
        <w:t xml:space="preserve"> </w:t>
      </w:r>
      <w:r w:rsidRPr="00162D04">
        <w:rPr>
          <w:rFonts w:cstheme="majorHAnsi"/>
          <w:color w:val="000000" w:themeColor="text1"/>
          <w:sz w:val="16"/>
          <w:szCs w:val="16"/>
          <w:lang w:val="es-MX"/>
        </w:rPr>
        <w:t xml:space="preserve">Arcaya, M., C., Arcaya, A., Subramanian, S., V. (2015). </w:t>
      </w:r>
      <w:r w:rsidRPr="000B470A">
        <w:rPr>
          <w:rFonts w:cstheme="majorHAnsi"/>
          <w:color w:val="000000" w:themeColor="text1"/>
          <w:sz w:val="16"/>
          <w:szCs w:val="16"/>
        </w:rPr>
        <w:t>Inequalities in health: Defin</w:t>
      </w:r>
      <w:r>
        <w:rPr>
          <w:rFonts w:cstheme="majorHAnsi"/>
          <w:color w:val="000000" w:themeColor="text1"/>
          <w:sz w:val="16"/>
          <w:szCs w:val="16"/>
        </w:rPr>
        <w:t>i</w:t>
      </w:r>
      <w:r w:rsidRPr="000B470A">
        <w:rPr>
          <w:rFonts w:cstheme="majorHAnsi"/>
          <w:color w:val="000000" w:themeColor="text1"/>
          <w:sz w:val="16"/>
          <w:szCs w:val="16"/>
        </w:rPr>
        <w:t xml:space="preserve">tions, concepts and theories. Global Health Action. Accessed at: </w:t>
      </w:r>
      <w:hyperlink r:id="rId4" w:history="1">
        <w:r w:rsidRPr="000B470A">
          <w:rPr>
            <w:rStyle w:val="Hyperlink"/>
            <w:rFonts w:cstheme="majorHAnsi"/>
            <w:color w:val="000000" w:themeColor="text1"/>
            <w:sz w:val="16"/>
            <w:szCs w:val="16"/>
          </w:rPr>
          <w:t>https://www.ncbi.nlm.nih.gov/pmc/articles/PMC4481045/</w:t>
        </w:r>
      </w:hyperlink>
      <w:r w:rsidRPr="000B470A">
        <w:rPr>
          <w:rFonts w:cstheme="majorHAnsi"/>
          <w:color w:val="000000" w:themeColor="text1"/>
          <w:sz w:val="16"/>
          <w:szCs w:val="16"/>
        </w:rPr>
        <w:t>.</w:t>
      </w:r>
    </w:p>
  </w:endnote>
  <w:endnote w:id="12">
    <w:p w14:paraId="1071A8E8" w14:textId="554E8219" w:rsidR="008F6B13" w:rsidRDefault="008F6B13">
      <w:pPr>
        <w:pStyle w:val="EndnoteText"/>
      </w:pPr>
      <w:r>
        <w:rPr>
          <w:rStyle w:val="EndnoteReference"/>
        </w:rPr>
        <w:endnoteRef/>
      </w:r>
      <w:r>
        <w:t xml:space="preserve"> </w:t>
      </w:r>
      <w:bookmarkStart w:id="0" w:name="_Hlk531002306"/>
      <w:r w:rsidRPr="000B470A">
        <w:rPr>
          <w:rFonts w:eastAsia="Times New Roman" w:cstheme="majorHAnsi"/>
          <w:color w:val="000000" w:themeColor="text1"/>
          <w:sz w:val="16"/>
          <w:szCs w:val="16"/>
        </w:rPr>
        <w:t>Health Care Costs 101: A Continuing Economic Threat. (2018, May). California Health Care Almanac. Accessed at: </w:t>
      </w:r>
      <w:hyperlink r:id="rId5" w:history="1">
        <w:r w:rsidRPr="000B470A">
          <w:rPr>
            <w:rStyle w:val="Hyperlink"/>
            <w:rFonts w:eastAsia="Times New Roman" w:cstheme="majorHAnsi"/>
            <w:color w:val="000000" w:themeColor="text1"/>
            <w:sz w:val="16"/>
            <w:szCs w:val="16"/>
          </w:rPr>
          <w:t>https://www.chcf.org/wp-content/uploads/2018/05/HealthCareCosts18.pdf</w:t>
        </w:r>
      </w:hyperlink>
      <w:r w:rsidRPr="000B470A">
        <w:rPr>
          <w:rFonts w:eastAsia="Times New Roman" w:cstheme="majorHAnsi"/>
          <w:color w:val="000000" w:themeColor="text1"/>
          <w:sz w:val="16"/>
          <w:szCs w:val="16"/>
        </w:rPr>
        <w:t>.</w:t>
      </w:r>
      <w:bookmarkEnd w:id="0"/>
    </w:p>
  </w:endnote>
  <w:endnote w:id="13">
    <w:p w14:paraId="190F1D0D" w14:textId="62281C04" w:rsidR="008F6B13" w:rsidRDefault="008F6B13">
      <w:pPr>
        <w:pStyle w:val="EndnoteText"/>
      </w:pPr>
      <w:r>
        <w:rPr>
          <w:rStyle w:val="EndnoteReference"/>
        </w:rPr>
        <w:endnoteRef/>
      </w:r>
      <w:r>
        <w:t xml:space="preserve"> </w:t>
      </w:r>
      <w:r w:rsidRPr="000B470A">
        <w:rPr>
          <w:rFonts w:cstheme="majorHAnsi"/>
          <w:color w:val="000000" w:themeColor="text1"/>
          <w:sz w:val="16"/>
          <w:szCs w:val="16"/>
        </w:rPr>
        <w:t xml:space="preserve">TSET (2017). Oklahoma Tobacco Settlement Endowment Trust.  FY 2017 Annual Report.  Accessed at: </w:t>
      </w:r>
      <w:hyperlink r:id="rId6" w:history="1">
        <w:r w:rsidRPr="000B470A">
          <w:rPr>
            <w:rStyle w:val="Hyperlink"/>
            <w:rFonts w:cstheme="majorHAnsi"/>
            <w:color w:val="000000" w:themeColor="text1"/>
            <w:sz w:val="16"/>
            <w:szCs w:val="16"/>
          </w:rPr>
          <w:t>https://tset.ok.gov/sites/g/files/gmc166/f/TSETFY17_AR.pdf</w:t>
        </w:r>
      </w:hyperlink>
      <w:r w:rsidRPr="000B470A">
        <w:rPr>
          <w:rFonts w:cstheme="majorHAnsi"/>
          <w:color w:val="000000" w:themeColor="text1"/>
          <w:sz w:val="16"/>
          <w:szCs w:val="16"/>
        </w:rPr>
        <w:t>.</w:t>
      </w:r>
    </w:p>
  </w:endnote>
  <w:endnote w:id="14">
    <w:p w14:paraId="68684383" w14:textId="014F7C4E" w:rsidR="008F6B13" w:rsidRDefault="008F6B13">
      <w:pPr>
        <w:pStyle w:val="EndnoteText"/>
      </w:pPr>
      <w:r>
        <w:rPr>
          <w:rStyle w:val="EndnoteReference"/>
        </w:rPr>
        <w:endnoteRef/>
      </w:r>
      <w:r>
        <w:t xml:space="preserve"> </w:t>
      </w:r>
      <w:r w:rsidRPr="000B470A">
        <w:rPr>
          <w:rFonts w:cstheme="majorHAnsi"/>
          <w:color w:val="000000" w:themeColor="text1"/>
          <w:sz w:val="16"/>
          <w:szCs w:val="16"/>
        </w:rPr>
        <w:t xml:space="preserve">Minnesota Department of Health. (2017). Minnesota’s Statewide Health Improvement Partnership (SHIP) Report to the Minnesota Legislature Fiscal Year 2016-17. Accessed  at: </w:t>
      </w:r>
      <w:hyperlink r:id="rId7" w:history="1">
        <w:r w:rsidRPr="000B470A">
          <w:rPr>
            <w:rStyle w:val="Hyperlink"/>
            <w:rFonts w:cstheme="majorHAnsi"/>
            <w:color w:val="000000" w:themeColor="text1"/>
            <w:sz w:val="16"/>
            <w:szCs w:val="16"/>
          </w:rPr>
          <w:t>http://www.health.state.mn.us/divs/oshii/ship/pdfs/ship-leg-report-16-17.pdf</w:t>
        </w:r>
      </w:hyperlink>
      <w:r w:rsidRPr="000B470A">
        <w:rPr>
          <w:rStyle w:val="Hyperlink"/>
          <w:rFonts w:cstheme="majorHAnsi"/>
          <w:color w:val="000000" w:themeColor="text1"/>
          <w:sz w:val="16"/>
          <w:szCs w:val="16"/>
        </w:rPr>
        <w:t>.</w:t>
      </w:r>
    </w:p>
  </w:endnote>
  <w:endnote w:id="15">
    <w:p w14:paraId="1A8D09B7" w14:textId="77777777" w:rsidR="008F6B13" w:rsidRPr="008F6B13" w:rsidRDefault="008F6B13" w:rsidP="008F6B13">
      <w:pPr>
        <w:rPr>
          <w:rFonts w:cstheme="majorHAnsi"/>
          <w:sz w:val="16"/>
          <w:szCs w:val="16"/>
        </w:rPr>
      </w:pPr>
      <w:r>
        <w:rPr>
          <w:rStyle w:val="EndnoteReference"/>
        </w:rPr>
        <w:endnoteRef/>
      </w:r>
      <w:r>
        <w:t xml:space="preserve"> </w:t>
      </w:r>
      <w:r w:rsidRPr="008F6B13">
        <w:rPr>
          <w:rFonts w:cstheme="majorHAnsi"/>
          <w:color w:val="000000" w:themeColor="text1"/>
          <w:sz w:val="16"/>
          <w:szCs w:val="16"/>
        </w:rPr>
        <w:t xml:space="preserve">Institute on Urban Health Research and Practice. The Massachusetts Prevention and Wellness Trust, An Innovative Approach to Prevention as a Component of Health Care Reform. Accessed at: </w:t>
      </w:r>
      <w:hyperlink r:id="rId8" w:history="1">
        <w:r w:rsidRPr="008F6B13">
          <w:rPr>
            <w:rFonts w:cstheme="majorHAnsi"/>
            <w:sz w:val="16"/>
            <w:szCs w:val="16"/>
            <w:u w:val="single"/>
          </w:rPr>
          <w:t>https://www.northeastern.edu/iuhrp/wp-content/uploads/2013/12/PreventionTrustFinalReport.pdf</w:t>
        </w:r>
      </w:hyperlink>
      <w:r w:rsidRPr="008F6B13">
        <w:rPr>
          <w:rFonts w:cstheme="majorHAnsi"/>
          <w:sz w:val="16"/>
          <w:szCs w:val="16"/>
        </w:rPr>
        <w:t xml:space="preserve">.  </w:t>
      </w:r>
    </w:p>
    <w:p w14:paraId="43FF83CC" w14:textId="30A0F0C7" w:rsidR="008F6B13" w:rsidRDefault="008F6B13">
      <w:pPr>
        <w:pStyle w:val="EndnoteText"/>
      </w:pPr>
    </w:p>
  </w:endnote>
  <w:endnote w:id="16">
    <w:p w14:paraId="6F04609C" w14:textId="1F85FA40" w:rsidR="00D07BE7" w:rsidRDefault="00D07BE7">
      <w:pPr>
        <w:pStyle w:val="EndnoteText"/>
      </w:pPr>
      <w:r>
        <w:rPr>
          <w:rStyle w:val="EndnoteReference"/>
        </w:rPr>
        <w:endnoteRef/>
      </w:r>
      <w:r w:rsidRPr="00B87D37">
        <w:rPr>
          <w:lang w:val="es-ES"/>
        </w:rPr>
        <w:t xml:space="preserve"> </w:t>
      </w:r>
      <w:bookmarkStart w:id="2" w:name="_Hlk530566647"/>
      <w:r w:rsidRPr="00B87D37">
        <w:rPr>
          <w:rFonts w:cstheme="minorHAnsi"/>
          <w:sz w:val="16"/>
          <w:szCs w:val="16"/>
          <w:lang w:val="es-ES"/>
        </w:rPr>
        <w:t xml:space="preserve">Brown, P., Gonzalez, M., </w:t>
      </w:r>
      <w:proofErr w:type="spellStart"/>
      <w:r w:rsidRPr="00B87D37">
        <w:rPr>
          <w:rFonts w:cstheme="minorHAnsi"/>
          <w:sz w:val="16"/>
          <w:szCs w:val="16"/>
          <w:lang w:val="es-ES"/>
        </w:rPr>
        <w:t>Dhaul</w:t>
      </w:r>
      <w:proofErr w:type="spellEnd"/>
      <w:r w:rsidRPr="00B87D37">
        <w:rPr>
          <w:rFonts w:cstheme="minorHAnsi"/>
          <w:sz w:val="16"/>
          <w:szCs w:val="16"/>
          <w:lang w:val="es-ES"/>
        </w:rPr>
        <w:t xml:space="preserve">, R.S. (2015). </w:t>
      </w:r>
      <w:r w:rsidRPr="002628FA">
        <w:rPr>
          <w:rFonts w:cstheme="minorHAnsi"/>
          <w:sz w:val="16"/>
          <w:szCs w:val="16"/>
        </w:rPr>
        <w:t>Cost of Chronic Disease in California: Estimates at County Level. Journal of Public Health Management &amp; Practice, 21,10-19.</w:t>
      </w:r>
      <w:bookmarkEnd w:id="2"/>
    </w:p>
  </w:endnote>
  <w:endnote w:id="17">
    <w:p w14:paraId="2170F501" w14:textId="6945461B" w:rsidR="00D07BE7" w:rsidRDefault="00D07BE7">
      <w:pPr>
        <w:pStyle w:val="EndnoteText"/>
      </w:pPr>
      <w:r>
        <w:rPr>
          <w:rStyle w:val="EndnoteReference"/>
        </w:rPr>
        <w:endnoteRef/>
      </w:r>
      <w:r>
        <w:t xml:space="preserve"> </w:t>
      </w:r>
      <w:r w:rsidRPr="00213678">
        <w:rPr>
          <w:rFonts w:cstheme="minorHAnsi"/>
          <w:sz w:val="16"/>
          <w:szCs w:val="16"/>
        </w:rPr>
        <w:t>Ibid.</w:t>
      </w:r>
    </w:p>
  </w:endnote>
  <w:endnote w:id="18">
    <w:p w14:paraId="38832D7E" w14:textId="307F77CB" w:rsidR="00D07BE7" w:rsidRDefault="00D07BE7">
      <w:pPr>
        <w:pStyle w:val="EndnoteText"/>
      </w:pPr>
      <w:r>
        <w:rPr>
          <w:rStyle w:val="EndnoteReference"/>
        </w:rPr>
        <w:endnoteRef/>
      </w:r>
      <w:r>
        <w:t xml:space="preserve"> </w:t>
      </w:r>
      <w:hyperlink r:id="rId9" w:history="1">
        <w:r w:rsidRPr="00D07BE7">
          <w:rPr>
            <w:rStyle w:val="Hyperlink"/>
            <w:rFonts w:cstheme="minorHAnsi"/>
            <w:color w:val="auto"/>
            <w:sz w:val="16"/>
            <w:szCs w:val="16"/>
          </w:rPr>
          <w:t>https://factfinder.census.gov/faces/nav/jsf/pages/community_facts.xhtml?src=bkmk</w:t>
        </w:r>
      </w:hyperlink>
      <w:r w:rsidRPr="00D07BE7">
        <w:rPr>
          <w:rFonts w:cstheme="minorHAnsi"/>
          <w:sz w:val="16"/>
          <w:szCs w:val="16"/>
        </w:rPr>
        <w:t xml:space="preserve">. </w:t>
      </w:r>
    </w:p>
  </w:endnote>
  <w:endnote w:id="19">
    <w:p w14:paraId="5DBA7639" w14:textId="77777777" w:rsidR="00491958" w:rsidRDefault="00491958">
      <w:pPr>
        <w:pStyle w:val="EndnoteText"/>
      </w:pPr>
      <w:r>
        <w:rPr>
          <w:rStyle w:val="EndnoteReference"/>
        </w:rPr>
        <w:endnoteRef/>
      </w:r>
      <w:r w:rsidRPr="00B87D37">
        <w:rPr>
          <w:lang w:val="es-ES"/>
        </w:rPr>
        <w:t xml:space="preserve"> </w:t>
      </w:r>
      <w:r w:rsidRPr="00B87D37">
        <w:rPr>
          <w:rFonts w:cstheme="minorHAnsi"/>
          <w:sz w:val="16"/>
          <w:szCs w:val="16"/>
          <w:lang w:val="es-ES"/>
        </w:rPr>
        <w:t xml:space="preserve">Brown, P., Gonzalez, M., </w:t>
      </w:r>
      <w:proofErr w:type="spellStart"/>
      <w:r w:rsidRPr="00B87D37">
        <w:rPr>
          <w:rFonts w:cstheme="minorHAnsi"/>
          <w:sz w:val="16"/>
          <w:szCs w:val="16"/>
          <w:lang w:val="es-ES"/>
        </w:rPr>
        <w:t>Dhaul</w:t>
      </w:r>
      <w:proofErr w:type="spellEnd"/>
      <w:r w:rsidRPr="00B87D37">
        <w:rPr>
          <w:rFonts w:cstheme="minorHAnsi"/>
          <w:sz w:val="16"/>
          <w:szCs w:val="16"/>
          <w:lang w:val="es-ES"/>
        </w:rPr>
        <w:t xml:space="preserve">, R.S. (2015). </w:t>
      </w:r>
      <w:r w:rsidRPr="002628FA">
        <w:rPr>
          <w:rFonts w:cstheme="minorHAnsi"/>
          <w:sz w:val="16"/>
          <w:szCs w:val="16"/>
        </w:rPr>
        <w:t>Cost of Chronic Disease in California: Estimates at County Level. Journal of Public Health Management &amp; Practice, 21,10-19.</w:t>
      </w:r>
    </w:p>
  </w:endnote>
  <w:endnote w:id="20">
    <w:p w14:paraId="6A7D186F" w14:textId="77777777" w:rsidR="00491958" w:rsidRDefault="00491958">
      <w:pPr>
        <w:pStyle w:val="EndnoteText"/>
      </w:pPr>
      <w:r>
        <w:rPr>
          <w:rStyle w:val="EndnoteReference"/>
        </w:rPr>
        <w:endnoteRef/>
      </w:r>
      <w:r>
        <w:t xml:space="preserve"> </w:t>
      </w:r>
      <w:r w:rsidRPr="00213678">
        <w:rPr>
          <w:rFonts w:cstheme="minorHAnsi"/>
          <w:sz w:val="16"/>
          <w:szCs w:val="16"/>
        </w:rPr>
        <w:t>Ibid.</w:t>
      </w:r>
    </w:p>
  </w:endnote>
  <w:endnote w:id="21">
    <w:p w14:paraId="5C1F3EE0" w14:textId="77777777" w:rsidR="00491958" w:rsidRDefault="00491958">
      <w:pPr>
        <w:pStyle w:val="EndnoteText"/>
      </w:pPr>
      <w:r>
        <w:rPr>
          <w:rStyle w:val="EndnoteReference"/>
        </w:rPr>
        <w:endnoteRef/>
      </w:r>
      <w:r>
        <w:t xml:space="preserve"> </w:t>
      </w:r>
      <w:hyperlink r:id="rId10" w:history="1">
        <w:r w:rsidRPr="00D07BE7">
          <w:rPr>
            <w:rStyle w:val="Hyperlink"/>
            <w:rFonts w:cstheme="minorHAnsi"/>
            <w:color w:val="auto"/>
            <w:sz w:val="16"/>
            <w:szCs w:val="16"/>
          </w:rPr>
          <w:t>https://factfinder.census.gov/faces/nav/jsf/pages/community_facts.xhtml?src=bkmk</w:t>
        </w:r>
      </w:hyperlink>
      <w:r w:rsidRPr="00D07BE7">
        <w:rPr>
          <w:rFonts w:cstheme="minorHAnsi"/>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25EEB" w14:textId="77777777" w:rsidR="003D3E4C" w:rsidRDefault="003D3E4C" w:rsidP="00F90BB3">
      <w:r>
        <w:separator/>
      </w:r>
    </w:p>
  </w:footnote>
  <w:footnote w:type="continuationSeparator" w:id="0">
    <w:p w14:paraId="09F43412" w14:textId="77777777" w:rsidR="003D3E4C" w:rsidRDefault="003D3E4C" w:rsidP="00F90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83C6F"/>
    <w:multiLevelType w:val="hybridMultilevel"/>
    <w:tmpl w:val="5E289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506"/>
    <w:rsid w:val="00013E96"/>
    <w:rsid w:val="00047E89"/>
    <w:rsid w:val="00056B6E"/>
    <w:rsid w:val="000D59B4"/>
    <w:rsid w:val="00145828"/>
    <w:rsid w:val="00145BD4"/>
    <w:rsid w:val="00162D04"/>
    <w:rsid w:val="0020506A"/>
    <w:rsid w:val="00241E58"/>
    <w:rsid w:val="002F13C2"/>
    <w:rsid w:val="003132F0"/>
    <w:rsid w:val="003220EB"/>
    <w:rsid w:val="00335D64"/>
    <w:rsid w:val="0034046F"/>
    <w:rsid w:val="003536B4"/>
    <w:rsid w:val="003B1D64"/>
    <w:rsid w:val="003C6131"/>
    <w:rsid w:val="003D0DFF"/>
    <w:rsid w:val="003D2C02"/>
    <w:rsid w:val="003D3E4C"/>
    <w:rsid w:val="003D421A"/>
    <w:rsid w:val="00471691"/>
    <w:rsid w:val="00491958"/>
    <w:rsid w:val="004B4C33"/>
    <w:rsid w:val="005136DD"/>
    <w:rsid w:val="005D5934"/>
    <w:rsid w:val="00685FEF"/>
    <w:rsid w:val="006A1D1E"/>
    <w:rsid w:val="006F5956"/>
    <w:rsid w:val="0076562B"/>
    <w:rsid w:val="0077185A"/>
    <w:rsid w:val="00781807"/>
    <w:rsid w:val="007B2F6F"/>
    <w:rsid w:val="0081709F"/>
    <w:rsid w:val="008A0688"/>
    <w:rsid w:val="008F1045"/>
    <w:rsid w:val="008F6B13"/>
    <w:rsid w:val="009159A6"/>
    <w:rsid w:val="00917298"/>
    <w:rsid w:val="00935FAA"/>
    <w:rsid w:val="0093780D"/>
    <w:rsid w:val="00947C18"/>
    <w:rsid w:val="009A101B"/>
    <w:rsid w:val="009C427D"/>
    <w:rsid w:val="00A41431"/>
    <w:rsid w:val="00A4605D"/>
    <w:rsid w:val="00A50209"/>
    <w:rsid w:val="00A55755"/>
    <w:rsid w:val="00B05759"/>
    <w:rsid w:val="00B159E2"/>
    <w:rsid w:val="00B31CE3"/>
    <w:rsid w:val="00B76457"/>
    <w:rsid w:val="00B87D37"/>
    <w:rsid w:val="00B9163D"/>
    <w:rsid w:val="00BA0B8A"/>
    <w:rsid w:val="00BB02A7"/>
    <w:rsid w:val="00BF1B8E"/>
    <w:rsid w:val="00CC76D0"/>
    <w:rsid w:val="00CE17BE"/>
    <w:rsid w:val="00CF34EA"/>
    <w:rsid w:val="00D07BE7"/>
    <w:rsid w:val="00D12E24"/>
    <w:rsid w:val="00D16882"/>
    <w:rsid w:val="00D42B89"/>
    <w:rsid w:val="00D86772"/>
    <w:rsid w:val="00E2156B"/>
    <w:rsid w:val="00E25191"/>
    <w:rsid w:val="00E53C09"/>
    <w:rsid w:val="00EC4506"/>
    <w:rsid w:val="00EE2A80"/>
    <w:rsid w:val="00F416B7"/>
    <w:rsid w:val="00F563A1"/>
    <w:rsid w:val="00F60A45"/>
    <w:rsid w:val="00F80BA5"/>
    <w:rsid w:val="00F90BB3"/>
    <w:rsid w:val="00FA24C7"/>
    <w:rsid w:val="00FA356D"/>
    <w:rsid w:val="00FB58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BD9F6"/>
  <w15:docId w15:val="{0ECB92A6-9B39-4C03-A4BF-689A5BA8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506"/>
    <w:pPr>
      <w:spacing w:after="0" w:line="240" w:lineRule="auto"/>
    </w:pPr>
    <w:rPr>
      <w:sz w:val="24"/>
      <w:szCs w:val="24"/>
    </w:rPr>
  </w:style>
  <w:style w:type="paragraph" w:styleId="Heading1">
    <w:name w:val="heading 1"/>
    <w:basedOn w:val="Normal"/>
    <w:next w:val="Normal"/>
    <w:link w:val="Heading1Char"/>
    <w:uiPriority w:val="9"/>
    <w:qFormat/>
    <w:rsid w:val="00CF34E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506"/>
    <w:rPr>
      <w:color w:val="0563C1" w:themeColor="hyperlink"/>
      <w:u w:val="single"/>
    </w:rPr>
  </w:style>
  <w:style w:type="paragraph" w:styleId="ListParagraph">
    <w:name w:val="List Paragraph"/>
    <w:basedOn w:val="Normal"/>
    <w:uiPriority w:val="34"/>
    <w:qFormat/>
    <w:rsid w:val="00FA356D"/>
    <w:pPr>
      <w:ind w:left="720"/>
      <w:contextualSpacing/>
    </w:pPr>
  </w:style>
  <w:style w:type="paragraph" w:styleId="EndnoteText">
    <w:name w:val="endnote text"/>
    <w:basedOn w:val="Normal"/>
    <w:link w:val="EndnoteTextChar"/>
    <w:uiPriority w:val="99"/>
    <w:semiHidden/>
    <w:unhideWhenUsed/>
    <w:rsid w:val="00FA356D"/>
    <w:rPr>
      <w:sz w:val="20"/>
      <w:szCs w:val="20"/>
    </w:rPr>
  </w:style>
  <w:style w:type="character" w:customStyle="1" w:styleId="EndnoteTextChar">
    <w:name w:val="Endnote Text Char"/>
    <w:basedOn w:val="DefaultParagraphFont"/>
    <w:link w:val="EndnoteText"/>
    <w:uiPriority w:val="99"/>
    <w:semiHidden/>
    <w:rsid w:val="00FA356D"/>
    <w:rPr>
      <w:sz w:val="20"/>
      <w:szCs w:val="20"/>
    </w:rPr>
  </w:style>
  <w:style w:type="character" w:styleId="EndnoteReference">
    <w:name w:val="endnote reference"/>
    <w:basedOn w:val="DefaultParagraphFont"/>
    <w:uiPriority w:val="99"/>
    <w:semiHidden/>
    <w:unhideWhenUsed/>
    <w:rsid w:val="00FA356D"/>
    <w:rPr>
      <w:vertAlign w:val="superscript"/>
    </w:rPr>
  </w:style>
  <w:style w:type="table" w:customStyle="1" w:styleId="GridTable2-Accent41">
    <w:name w:val="Grid Table 2 - Accent 41"/>
    <w:basedOn w:val="TableNormal"/>
    <w:uiPriority w:val="47"/>
    <w:rsid w:val="00D07BE7"/>
    <w:pPr>
      <w:spacing w:after="0" w:line="240" w:lineRule="auto"/>
    </w:pPr>
    <w:rPr>
      <w:sz w:val="24"/>
      <w:szCs w:val="24"/>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UnresolvedMention1">
    <w:name w:val="Unresolved Mention1"/>
    <w:basedOn w:val="DefaultParagraphFont"/>
    <w:uiPriority w:val="99"/>
    <w:semiHidden/>
    <w:unhideWhenUsed/>
    <w:rsid w:val="00D07BE7"/>
    <w:rPr>
      <w:color w:val="605E5C"/>
      <w:shd w:val="clear" w:color="auto" w:fill="E1DFDD"/>
    </w:rPr>
  </w:style>
  <w:style w:type="paragraph" w:styleId="BalloonText">
    <w:name w:val="Balloon Text"/>
    <w:basedOn w:val="Normal"/>
    <w:link w:val="BalloonTextChar"/>
    <w:uiPriority w:val="99"/>
    <w:semiHidden/>
    <w:unhideWhenUsed/>
    <w:rsid w:val="00CF34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34EA"/>
    <w:rPr>
      <w:rFonts w:ascii="Times New Roman" w:hAnsi="Times New Roman" w:cs="Times New Roman"/>
      <w:sz w:val="18"/>
      <w:szCs w:val="18"/>
    </w:rPr>
  </w:style>
  <w:style w:type="character" w:customStyle="1" w:styleId="Heading1Char">
    <w:name w:val="Heading 1 Char"/>
    <w:basedOn w:val="DefaultParagraphFont"/>
    <w:link w:val="Heading1"/>
    <w:uiPriority w:val="9"/>
    <w:rsid w:val="00CF34EA"/>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917298"/>
    <w:rPr>
      <w:sz w:val="16"/>
      <w:szCs w:val="16"/>
    </w:rPr>
  </w:style>
  <w:style w:type="paragraph" w:styleId="CommentText">
    <w:name w:val="annotation text"/>
    <w:basedOn w:val="Normal"/>
    <w:link w:val="CommentTextChar"/>
    <w:uiPriority w:val="99"/>
    <w:semiHidden/>
    <w:unhideWhenUsed/>
    <w:rsid w:val="00917298"/>
    <w:rPr>
      <w:sz w:val="20"/>
      <w:szCs w:val="20"/>
    </w:rPr>
  </w:style>
  <w:style w:type="character" w:customStyle="1" w:styleId="CommentTextChar">
    <w:name w:val="Comment Text Char"/>
    <w:basedOn w:val="DefaultParagraphFont"/>
    <w:link w:val="CommentText"/>
    <w:uiPriority w:val="99"/>
    <w:semiHidden/>
    <w:rsid w:val="00917298"/>
    <w:rPr>
      <w:sz w:val="20"/>
      <w:szCs w:val="20"/>
    </w:rPr>
  </w:style>
  <w:style w:type="paragraph" w:styleId="CommentSubject">
    <w:name w:val="annotation subject"/>
    <w:basedOn w:val="CommentText"/>
    <w:next w:val="CommentText"/>
    <w:link w:val="CommentSubjectChar"/>
    <w:uiPriority w:val="99"/>
    <w:semiHidden/>
    <w:unhideWhenUsed/>
    <w:rsid w:val="00917298"/>
    <w:rPr>
      <w:b/>
      <w:bCs/>
    </w:rPr>
  </w:style>
  <w:style w:type="character" w:customStyle="1" w:styleId="CommentSubjectChar">
    <w:name w:val="Comment Subject Char"/>
    <w:basedOn w:val="CommentTextChar"/>
    <w:link w:val="CommentSubject"/>
    <w:uiPriority w:val="99"/>
    <w:semiHidden/>
    <w:rsid w:val="009172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acey.rattray@phi.org"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northeastern.edu/iuhrp/wp-content/uploads/2013/12/PreventionTrustFinalReport.pdf" TargetMode="External"/><Relationship Id="rId3" Type="http://schemas.openxmlformats.org/officeDocument/2006/relationships/hyperlink" Target="https://www.ers.usda.gov/webdocs/publications/42711/12716_ap036_1_.pdf" TargetMode="External"/><Relationship Id="rId7" Type="http://schemas.openxmlformats.org/officeDocument/2006/relationships/hyperlink" Target="http://www.health.state.mn.us/divs/oshii/ship/pdfs/ship-leg-report-16-17.pdf" TargetMode="External"/><Relationship Id="rId2" Type="http://schemas.openxmlformats.org/officeDocument/2006/relationships/hyperlink" Target="https://jamanetwork.com/journals/jama/fullarticle/2678018" TargetMode="External"/><Relationship Id="rId1" Type="http://schemas.openxmlformats.org/officeDocument/2006/relationships/hyperlink" Target="https://www.cdc.gov/nccdphp/dnpao/data-trends-maps/index.html" TargetMode="External"/><Relationship Id="rId6" Type="http://schemas.openxmlformats.org/officeDocument/2006/relationships/hyperlink" Target="https://tset.ok.gov/sites/g/files/gmc166/f/TSETFY17_AR.pdf" TargetMode="External"/><Relationship Id="rId5" Type="http://schemas.openxmlformats.org/officeDocument/2006/relationships/hyperlink" Target="https://www.chcf.org/wp-content/uploads/2018/05/HealthCareCosts18.pdf" TargetMode="External"/><Relationship Id="rId10" Type="http://schemas.openxmlformats.org/officeDocument/2006/relationships/hyperlink" Target="https://factfinder.census.gov/faces/nav/jsf/pages/community_facts.xhtml?src=bkmk" TargetMode="External"/><Relationship Id="rId4" Type="http://schemas.openxmlformats.org/officeDocument/2006/relationships/hyperlink" Target="https://www.ncbi.nlm.nih.gov/pmc/articles/PMC4481045/" TargetMode="External"/><Relationship Id="rId9" Type="http://schemas.openxmlformats.org/officeDocument/2006/relationships/hyperlink" Target="https://factfinder.census.gov/faces/nav/jsf/pages/community_facts.xhtml?src=bk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FA465-AACA-0C44-95A8-2E7913FAB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 Gonzalez</dc:creator>
  <cp:lastModifiedBy>Shauna Olsen</cp:lastModifiedBy>
  <cp:revision>3</cp:revision>
  <dcterms:created xsi:type="dcterms:W3CDTF">2019-10-07T22:31:00Z</dcterms:created>
  <dcterms:modified xsi:type="dcterms:W3CDTF">2019-10-08T00:06:00Z</dcterms:modified>
</cp:coreProperties>
</file>